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50" w:rsidRDefault="00306FBA">
      <w:pPr>
        <w:pStyle w:val="CAR-CoverMain"/>
      </w:pPr>
      <w:r w:rsidRPr="00D83C38">
        <w:t>Companies Auditors and Liquidators</w:t>
      </w:r>
      <w:r w:rsidRPr="00D83C38">
        <w:br/>
        <w:t>Disciplinary Board</w:t>
      </w:r>
    </w:p>
    <w:p w:rsidR="00535B50" w:rsidRDefault="00306FBA" w:rsidP="00827372">
      <w:pPr>
        <w:pStyle w:val="CAR-CoverSub"/>
        <w:tabs>
          <w:tab w:val="left" w:pos="0"/>
        </w:tabs>
        <w:ind w:right="56"/>
        <w:outlineLvl w:val="0"/>
      </w:pPr>
      <w:r w:rsidRPr="00D83C38">
        <w:t>Annual Repor</w:t>
      </w:r>
      <w:r w:rsidR="00387D27">
        <w:t>t</w:t>
      </w:r>
      <w:r w:rsidR="00827372">
        <w:br/>
      </w:r>
      <w:r w:rsidR="00CA6FC8">
        <w:t xml:space="preserve">for </w:t>
      </w:r>
      <w:r w:rsidR="007A1517">
        <w:t xml:space="preserve">the </w:t>
      </w:r>
      <w:r w:rsidR="00CA6FC8">
        <w:t>year end</w:t>
      </w:r>
      <w:r w:rsidR="006C7A85">
        <w:t xml:space="preserve">ing </w:t>
      </w:r>
      <w:r w:rsidR="00CA6FC8">
        <w:t>30 June 2013</w:t>
      </w:r>
    </w:p>
    <w:p w:rsidR="00CF6D1F" w:rsidRDefault="00CF6D1F">
      <w:pPr>
        <w:pStyle w:val="CAR-CoverSub"/>
        <w:ind w:right="3175"/>
        <w:jc w:val="left"/>
        <w:rPr>
          <w:b/>
          <w:sz w:val="32"/>
        </w:rPr>
      </w:pPr>
    </w:p>
    <w:p w:rsidR="00306FBA" w:rsidRPr="00D83C38" w:rsidRDefault="00306FBA">
      <w:pPr>
        <w:pStyle w:val="CAR-BodyText-Left"/>
        <w:sectPr w:rsidR="00306FBA" w:rsidRPr="00D83C38" w:rsidSect="00944D74">
          <w:footerReference w:type="even" r:id="rId8"/>
          <w:pgSz w:w="11907" w:h="16834" w:code="9"/>
          <w:pgMar w:top="2466" w:right="2268" w:bottom="2466" w:left="2098" w:header="1899" w:footer="1899" w:gutter="0"/>
          <w:cols w:space="720"/>
          <w:docGrid w:linePitch="326"/>
        </w:sectPr>
      </w:pPr>
    </w:p>
    <w:p w:rsidR="00306FBA" w:rsidRPr="00D83C38" w:rsidRDefault="00306FBA">
      <w:pPr>
        <w:pStyle w:val="CAR-BodyText-Left"/>
      </w:pPr>
      <w:r w:rsidRPr="00D83C38">
        <w:lastRenderedPageBreak/>
        <w:sym w:font="Symbol" w:char="F0D3"/>
      </w:r>
      <w:r w:rsidRPr="00D83C38">
        <w:t xml:space="preserve"> Commonwealth of Australia 201</w:t>
      </w:r>
      <w:r w:rsidR="00CA6FC8">
        <w:t>3</w:t>
      </w:r>
    </w:p>
    <w:p w:rsidR="00306FBA" w:rsidRPr="00D83C38" w:rsidRDefault="00306FBA">
      <w:pPr>
        <w:pStyle w:val="CAR-BodyText-Left"/>
      </w:pPr>
      <w:r w:rsidRPr="00D83C38">
        <w:t>ISBN 978-0-642-74545-3</w:t>
      </w:r>
    </w:p>
    <w:p w:rsidR="00306FBA" w:rsidRPr="00D83C38" w:rsidRDefault="00306FBA" w:rsidP="007E6A65">
      <w:pPr>
        <w:pStyle w:val="CAR-BodyText-Left"/>
      </w:pPr>
      <w:r w:rsidRPr="00D83C38">
        <w:t xml:space="preserve">This work is copyright. Apart from any use as permitted under the </w:t>
      </w:r>
      <w:r w:rsidRPr="00D83C38">
        <w:rPr>
          <w:i/>
        </w:rPr>
        <w:t>Copyright Act 1968</w:t>
      </w:r>
      <w:r w:rsidRPr="00D83C38">
        <w:t>, no part may be reproduced by any process without prior written permission from the Commonwealth. Requests and inquiries concerning reproduction and rights should be addressed to the</w:t>
      </w:r>
    </w:p>
    <w:p w:rsidR="00306FBA" w:rsidRPr="00D83C38" w:rsidRDefault="00306FBA" w:rsidP="007E6A65">
      <w:pPr>
        <w:pStyle w:val="CAR-BodyText-Left"/>
      </w:pPr>
      <w:r w:rsidRPr="00D83C38">
        <w:t>Commonwealth Copyright Administration</w:t>
      </w:r>
      <w:r w:rsidRPr="00D83C38">
        <w:br/>
        <w:t>Attorney-General’s Department</w:t>
      </w:r>
      <w:r w:rsidRPr="00D83C38">
        <w:br/>
        <w:t>National Circuit</w:t>
      </w:r>
      <w:r w:rsidRPr="00D83C38">
        <w:br/>
      </w:r>
      <w:proofErr w:type="gramStart"/>
      <w:r w:rsidRPr="00D83C38">
        <w:t>BARTON  ACT</w:t>
      </w:r>
      <w:proofErr w:type="gramEnd"/>
      <w:r w:rsidRPr="00D83C38">
        <w:t xml:space="preserve">  2600</w:t>
      </w:r>
    </w:p>
    <w:p w:rsidR="00306FBA" w:rsidRPr="00D83C38" w:rsidRDefault="00306FBA" w:rsidP="007E6A65">
      <w:pPr>
        <w:pStyle w:val="CAR-BodyText-Left"/>
      </w:pPr>
      <w:proofErr w:type="gramStart"/>
      <w:r w:rsidRPr="00D83C38">
        <w:t>or</w:t>
      </w:r>
      <w:proofErr w:type="gramEnd"/>
      <w:r w:rsidRPr="00D83C38">
        <w:t xml:space="preserve"> posted at:</w:t>
      </w:r>
    </w:p>
    <w:p w:rsidR="00306FBA" w:rsidRPr="00D83C38" w:rsidRDefault="00306FBA" w:rsidP="007E6A65">
      <w:pPr>
        <w:pStyle w:val="CAR-BodyText-Left"/>
      </w:pPr>
      <w:r w:rsidRPr="00D83C38">
        <w:t>http://www.ag.gov.au/cca</w:t>
      </w:r>
    </w:p>
    <w:p w:rsidR="00306FBA" w:rsidRPr="00D83C38" w:rsidRDefault="00306FBA">
      <w:pPr>
        <w:pStyle w:val="CAR-BodyText-Just"/>
      </w:pPr>
    </w:p>
    <w:p w:rsidR="00306FBA" w:rsidRPr="00D83C38" w:rsidRDefault="00306FBA">
      <w:pPr>
        <w:jc w:val="both"/>
      </w:pPr>
    </w:p>
    <w:p w:rsidR="00306FBA" w:rsidRPr="00D83C38" w:rsidRDefault="00306FBA">
      <w:pPr>
        <w:jc w:val="both"/>
        <w:sectPr w:rsidR="00306FBA" w:rsidRPr="00D83C38">
          <w:headerReference w:type="default" r:id="rId9"/>
          <w:pgSz w:w="11907" w:h="16834" w:code="9"/>
          <w:pgMar w:top="2466" w:right="2098" w:bottom="2466" w:left="2098" w:header="1899" w:footer="1899" w:gutter="0"/>
          <w:cols w:space="720"/>
          <w:docGrid w:linePitch="326"/>
        </w:sectPr>
      </w:pPr>
    </w:p>
    <w:p w:rsidR="00403E12" w:rsidRDefault="00403E12" w:rsidP="00403E12">
      <w:pPr>
        <w:pStyle w:val="CAR-BodyText-Left"/>
      </w:pPr>
      <w:r>
        <w:rPr>
          <w:noProof/>
          <w:lang w:eastAsia="en-AU"/>
        </w:rPr>
        <w:lastRenderedPageBreak/>
        <w:drawing>
          <wp:anchor distT="0" distB="0" distL="114300" distR="114300" simplePos="0" relativeHeight="251658240" behindDoc="1" locked="0" layoutInCell="1" allowOverlap="1">
            <wp:simplePos x="0" y="0"/>
            <wp:positionH relativeFrom="column">
              <wp:posOffset>-255905</wp:posOffset>
            </wp:positionH>
            <wp:positionV relativeFrom="paragraph">
              <wp:posOffset>-51435</wp:posOffset>
            </wp:positionV>
            <wp:extent cx="5676900" cy="7667626"/>
            <wp:effectExtent l="1905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676900" cy="7667626"/>
                    </a:xfrm>
                    <a:prstGeom prst="rect">
                      <a:avLst/>
                    </a:prstGeom>
                    <a:noFill/>
                    <a:ln w="9525">
                      <a:noFill/>
                      <a:miter lim="800000"/>
                      <a:headEnd/>
                      <a:tailEnd/>
                    </a:ln>
                  </pic:spPr>
                </pic:pic>
              </a:graphicData>
            </a:graphic>
          </wp:anchor>
        </w:drawing>
      </w: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Default="00403E12" w:rsidP="00403E12">
      <w:pPr>
        <w:pStyle w:val="CAR-BodyText-Left"/>
      </w:pPr>
    </w:p>
    <w:p w:rsidR="00403E12" w:rsidRPr="00D83C38" w:rsidRDefault="00403E12" w:rsidP="00403E12">
      <w:pPr>
        <w:pStyle w:val="CAR-BodyText-Left"/>
        <w:sectPr w:rsidR="00403E12" w:rsidRPr="00D83C38">
          <w:headerReference w:type="even" r:id="rId11"/>
          <w:headerReference w:type="default" r:id="rId12"/>
          <w:footerReference w:type="default" r:id="rId13"/>
          <w:pgSz w:w="11907" w:h="16834" w:code="9"/>
          <w:pgMar w:top="2466" w:right="2098" w:bottom="2466" w:left="2098" w:header="1899" w:footer="1899" w:gutter="0"/>
          <w:pgNumType w:start="1"/>
          <w:cols w:space="720"/>
          <w:docGrid w:linePitch="326"/>
        </w:sectPr>
      </w:pPr>
    </w:p>
    <w:p w:rsidR="00306FBA" w:rsidRPr="00136A06" w:rsidRDefault="00306FBA" w:rsidP="00136A06">
      <w:pPr>
        <w:pStyle w:val="CAR-Heading-1"/>
        <w:outlineLvl w:val="0"/>
      </w:pPr>
      <w:r w:rsidRPr="00136A06">
        <w:t>Overview</w:t>
      </w:r>
    </w:p>
    <w:p w:rsidR="00CF6D1F" w:rsidRDefault="00B8503E" w:rsidP="0023751A">
      <w:pPr>
        <w:pStyle w:val="CAR-BodyText-Left"/>
      </w:pPr>
      <w:r w:rsidRPr="00136A06">
        <w:t>During the reporting year:</w:t>
      </w:r>
    </w:p>
    <w:p w:rsidR="00E36403" w:rsidRPr="00136A06" w:rsidRDefault="00B8503E" w:rsidP="00E36403">
      <w:pPr>
        <w:pStyle w:val="CAR-Bullet-1"/>
      </w:pPr>
      <w:r w:rsidRPr="00136A06">
        <w:t xml:space="preserve">After a number of years during which no significant applications were brought to the </w:t>
      </w:r>
      <w:proofErr w:type="spellStart"/>
      <w:r w:rsidR="00A93B96">
        <w:t>Companies</w:t>
      </w:r>
      <w:proofErr w:type="spellEnd"/>
      <w:r w:rsidR="00A93B96">
        <w:t xml:space="preserve"> Auditors and Liquidators Disciplinary </w:t>
      </w:r>
      <w:r w:rsidRPr="00136A06">
        <w:t>Board</w:t>
      </w:r>
      <w:r w:rsidR="00A93B96">
        <w:t xml:space="preserve"> (</w:t>
      </w:r>
      <w:r w:rsidR="00511DDD">
        <w:t>'</w:t>
      </w:r>
      <w:r w:rsidR="00A93B96">
        <w:t>CALDB</w:t>
      </w:r>
      <w:r w:rsidR="00511DDD">
        <w:t>'</w:t>
      </w:r>
      <w:r w:rsidR="00A93B96">
        <w:t>)</w:t>
      </w:r>
      <w:r w:rsidRPr="00136A06">
        <w:t xml:space="preserve">, </w:t>
      </w:r>
      <w:r w:rsidR="004D225C" w:rsidRPr="004D225C">
        <w:t>f</w:t>
      </w:r>
      <w:r w:rsidRPr="00136A06">
        <w:t>ive new applications were received (1 administrative matter and 4 conduct matters).</w:t>
      </w:r>
    </w:p>
    <w:p w:rsidR="00E36403" w:rsidRPr="00136A06" w:rsidRDefault="00A93B96" w:rsidP="00E36403">
      <w:pPr>
        <w:pStyle w:val="CAR-Bullet-1"/>
      </w:pPr>
      <w:r>
        <w:t>CALDB</w:t>
      </w:r>
      <w:r w:rsidR="00B8503E" w:rsidRPr="00136A06">
        <w:t xml:space="preserve"> has implemented its re</w:t>
      </w:r>
      <w:r w:rsidR="004D225C" w:rsidRPr="004D225C">
        <w:t xml:space="preserve">vised </w:t>
      </w:r>
      <w:r w:rsidR="008D25E3">
        <w:t xml:space="preserve">and </w:t>
      </w:r>
      <w:r w:rsidR="004D225C" w:rsidRPr="004D225C">
        <w:t>s</w:t>
      </w:r>
      <w:r w:rsidR="00B8503E" w:rsidRPr="00136A06">
        <w:t xml:space="preserve">treamlined procedures in relation to these new applications. </w:t>
      </w:r>
    </w:p>
    <w:p w:rsidR="00F74BD7" w:rsidRPr="00136A06" w:rsidRDefault="00B8503E" w:rsidP="00E36403">
      <w:pPr>
        <w:pStyle w:val="CAR-Bullet-1"/>
      </w:pPr>
      <w:r w:rsidRPr="00136A06">
        <w:t>Three new members were appointed to CALDB</w:t>
      </w:r>
      <w:r w:rsidR="00A93B96">
        <w:t>:</w:t>
      </w:r>
      <w:r w:rsidRPr="00136A06">
        <w:t xml:space="preserve"> Ms Judith </w:t>
      </w:r>
      <w:proofErr w:type="spellStart"/>
      <w:r w:rsidRPr="00136A06">
        <w:t>Downes</w:t>
      </w:r>
      <w:proofErr w:type="spellEnd"/>
      <w:r w:rsidRPr="00136A06">
        <w:t xml:space="preserve"> and Mr David Sauer (Accounting members)</w:t>
      </w:r>
      <w:r w:rsidR="00A93B96">
        <w:t xml:space="preserve"> and</w:t>
      </w:r>
      <w:r w:rsidRPr="00136A06">
        <w:t xml:space="preserve"> Ms Karen O’Flynn (Business member)</w:t>
      </w:r>
      <w:r w:rsidR="00A93B96">
        <w:t>.</w:t>
      </w:r>
      <w:r w:rsidRPr="00136A06">
        <w:t xml:space="preserve"> </w:t>
      </w:r>
    </w:p>
    <w:p w:rsidR="00F74BD7" w:rsidRPr="00136A06" w:rsidRDefault="00B8503E" w:rsidP="00DE6E85">
      <w:pPr>
        <w:pStyle w:val="CAR-Bullet-1"/>
      </w:pPr>
      <w:r w:rsidRPr="00136A06">
        <w:t xml:space="preserve">Messrs Robert Ferguson, Bruce Gleeson and Eric Passaris were reappointed as accounting members. </w:t>
      </w:r>
    </w:p>
    <w:p w:rsidR="00CF6D1F" w:rsidRDefault="00B8503E">
      <w:pPr>
        <w:pStyle w:val="CAR-Bullet-1"/>
      </w:pPr>
      <w:r w:rsidRPr="00136A06">
        <w:t xml:space="preserve">Mr David Castle was the Acting Deputy Chairperson for a period of three months. On 6 August 2013 (post the reporting year) Ms Maria McCrossin was appointed Deputy Chairperson of CALDB. </w:t>
      </w:r>
    </w:p>
    <w:p w:rsidR="00CF6D1F" w:rsidRDefault="00B8503E">
      <w:pPr>
        <w:pStyle w:val="CAR-Bullet-1"/>
      </w:pPr>
      <w:r w:rsidRPr="00136A06">
        <w:t xml:space="preserve">We thank Mr Castle for his contribution to CALDB and welcome the new members and look forward to their participation in CALDB business. </w:t>
      </w:r>
    </w:p>
    <w:p w:rsidR="00DF3396" w:rsidRDefault="00B8503E">
      <w:pPr>
        <w:pStyle w:val="CAR-Bullet-1"/>
      </w:pPr>
      <w:r w:rsidRPr="00136A06">
        <w:t xml:space="preserve">CALDB was informed by </w:t>
      </w:r>
      <w:r w:rsidR="00A93B96" w:rsidRPr="00D83C38">
        <w:rPr>
          <w:lang w:val="en-GB"/>
        </w:rPr>
        <w:t>the Australian Securities and Investments Commission (‘ASIC’)</w:t>
      </w:r>
      <w:r w:rsidRPr="00136A06">
        <w:t xml:space="preserve"> </w:t>
      </w:r>
      <w:r w:rsidR="00136A06">
        <w:t>of a review</w:t>
      </w:r>
      <w:r w:rsidRPr="00136A06">
        <w:t xml:space="preserve"> of </w:t>
      </w:r>
      <w:r w:rsidR="001929F7">
        <w:t xml:space="preserve">the cost of providing </w:t>
      </w:r>
      <w:r w:rsidRPr="00136A06">
        <w:t xml:space="preserve">support to </w:t>
      </w:r>
      <w:r w:rsidR="0039258B">
        <w:t>CALDB</w:t>
      </w:r>
      <w:r w:rsidR="00A557FB">
        <w:t xml:space="preserve">, including through </w:t>
      </w:r>
      <w:r w:rsidR="00DA41E0">
        <w:t>relocating</w:t>
      </w:r>
      <w:r w:rsidR="00A557FB">
        <w:t xml:space="preserve"> the Board with</w:t>
      </w:r>
      <w:r w:rsidR="00DA41E0">
        <w:t>in</w:t>
      </w:r>
      <w:r w:rsidR="00A557FB">
        <w:t xml:space="preserve"> ASIC</w:t>
      </w:r>
      <w:r w:rsidR="00DA41E0">
        <w:t>’s premises</w:t>
      </w:r>
      <w:r w:rsidRPr="00136A06">
        <w:t xml:space="preserve">. Section 11(2) </w:t>
      </w:r>
      <w:r w:rsidR="00A93B96" w:rsidRPr="00D83C38">
        <w:t xml:space="preserve">the </w:t>
      </w:r>
      <w:r w:rsidR="00A93B96" w:rsidRPr="00A93B96">
        <w:rPr>
          <w:i/>
          <w:lang w:val="en-GB"/>
        </w:rPr>
        <w:t>Australian Securities and Investments Commission</w:t>
      </w:r>
      <w:r w:rsidR="00A93B96" w:rsidRPr="00A93B96">
        <w:rPr>
          <w:i/>
        </w:rPr>
        <w:t xml:space="preserve"> Act</w:t>
      </w:r>
      <w:r w:rsidR="00A93B96">
        <w:rPr>
          <w:i/>
        </w:rPr>
        <w:t xml:space="preserve"> 2001 </w:t>
      </w:r>
      <w:r w:rsidR="00A93B96" w:rsidRPr="00D83C38">
        <w:rPr>
          <w:lang w:val="en-GB"/>
        </w:rPr>
        <w:t>(‘ASIC</w:t>
      </w:r>
      <w:r w:rsidR="00A93B96">
        <w:rPr>
          <w:lang w:val="en-GB"/>
        </w:rPr>
        <w:t xml:space="preserve"> Act</w:t>
      </w:r>
      <w:r w:rsidR="00A93B96" w:rsidRPr="00D83C38">
        <w:rPr>
          <w:lang w:val="en-GB"/>
        </w:rPr>
        <w:t>’)</w:t>
      </w:r>
      <w:r w:rsidR="00A93B96">
        <w:rPr>
          <w:lang w:val="en-GB"/>
        </w:rPr>
        <w:t xml:space="preserve"> </w:t>
      </w:r>
      <w:r w:rsidRPr="00136A06">
        <w:t>provides that ASIC</w:t>
      </w:r>
      <w:r w:rsidR="00A93B96">
        <w:t>’s functions include the</w:t>
      </w:r>
      <w:r w:rsidRPr="00136A06">
        <w:t xml:space="preserve"> </w:t>
      </w:r>
      <w:r w:rsidR="00A93B96">
        <w:t>function of</w:t>
      </w:r>
      <w:r w:rsidRPr="00136A06">
        <w:t xml:space="preserve"> provid</w:t>
      </w:r>
      <w:r w:rsidR="00A93B96">
        <w:t>ing</w:t>
      </w:r>
      <w:r w:rsidRPr="00136A06">
        <w:t xml:space="preserve"> such staff and support facilities to CALDB as are necessary or desirable for the performance of its functions and powers</w:t>
      </w:r>
      <w:r w:rsidR="00A7150E">
        <w:t>.</w:t>
      </w:r>
      <w:r w:rsidRPr="00136A06">
        <w:t xml:space="preserve"> CALDB </w:t>
      </w:r>
      <w:r w:rsidR="00A557FB">
        <w:t xml:space="preserve">believes that the need for the Board to be, and be seen to be, independent is vital to the performance of its functions. CALDB </w:t>
      </w:r>
      <w:r w:rsidRPr="00136A06">
        <w:t xml:space="preserve">looks forward to </w:t>
      </w:r>
      <w:r w:rsidR="00DF3396">
        <w:t>a</w:t>
      </w:r>
      <w:r w:rsidR="00A557FB">
        <w:t xml:space="preserve"> continued </w:t>
      </w:r>
      <w:r w:rsidR="001929F7">
        <w:t>support</w:t>
      </w:r>
      <w:r w:rsidR="00A557FB">
        <w:t xml:space="preserve"> in a way which facilitates this outcome</w:t>
      </w:r>
      <w:r w:rsidR="00DF3396">
        <w:t>.</w:t>
      </w:r>
      <w:r w:rsidR="001929F7">
        <w:t xml:space="preserve"> </w:t>
      </w:r>
    </w:p>
    <w:p w:rsidR="00CF6D1F" w:rsidRDefault="00193E47" w:rsidP="0023751A">
      <w:pPr>
        <w:pStyle w:val="CAR-BodyText-Left"/>
      </w:pPr>
      <w:r>
        <w:rPr>
          <w:lang w:val="en-GB"/>
        </w:rPr>
        <w:t xml:space="preserve">Overall, CALDB has sought to do everything possible on its part to provide a fair, expeditious and cost-effective outcome in the proceedings brought before it. </w:t>
      </w:r>
      <w:r w:rsidR="00B8503E" w:rsidRPr="00136A06">
        <w:rPr>
          <w:lang w:val="en-GB"/>
        </w:rPr>
        <w:t>A robust, effective and reliable regulatory framework for ensuring th</w:t>
      </w:r>
      <w:r w:rsidR="00DF3396">
        <w:rPr>
          <w:lang w:val="en-GB"/>
        </w:rPr>
        <w:t>at</w:t>
      </w:r>
      <w:r w:rsidR="00B8503E" w:rsidRPr="00136A06">
        <w:rPr>
          <w:lang w:val="en-GB"/>
        </w:rPr>
        <w:t xml:space="preserve"> designated standards </w:t>
      </w:r>
      <w:r w:rsidR="008572AB">
        <w:rPr>
          <w:lang w:val="en-GB"/>
        </w:rPr>
        <w:t xml:space="preserve">applicable to </w:t>
      </w:r>
      <w:r w:rsidR="00B8503E" w:rsidRPr="00136A06">
        <w:rPr>
          <w:lang w:val="en-GB"/>
        </w:rPr>
        <w:t xml:space="preserve">auditors and liquidators are consistently met, underpins the confidence of investors and creditors in Australian companies and capital markets. The independent disciplinary role played by CALDB </w:t>
      </w:r>
      <w:r w:rsidR="008572AB">
        <w:rPr>
          <w:lang w:val="en-GB"/>
        </w:rPr>
        <w:t xml:space="preserve">is a key </w:t>
      </w:r>
      <w:r w:rsidR="00536E13">
        <w:rPr>
          <w:lang w:val="en-GB"/>
        </w:rPr>
        <w:t>aspect of</w:t>
      </w:r>
      <w:r w:rsidR="00B8503E" w:rsidRPr="00136A06">
        <w:rPr>
          <w:lang w:val="en-GB"/>
        </w:rPr>
        <w:t xml:space="preserve"> that framework</w:t>
      </w:r>
      <w:r w:rsidR="007C2300">
        <w:rPr>
          <w:lang w:val="en-GB"/>
        </w:rPr>
        <w:t>.</w:t>
      </w:r>
      <w:r w:rsidR="00B8503E" w:rsidRPr="00136A06">
        <w:rPr>
          <w:lang w:val="en-GB"/>
        </w:rPr>
        <w:t xml:space="preserve"> </w:t>
      </w:r>
      <w:r w:rsidR="0039258B">
        <w:rPr>
          <w:lang w:val="en-GB"/>
        </w:rPr>
        <w:t>CALDB</w:t>
      </w:r>
      <w:r>
        <w:rPr>
          <w:lang w:val="en-GB"/>
        </w:rPr>
        <w:t xml:space="preserve"> continues to strive to </w:t>
      </w:r>
      <w:r w:rsidR="00B8503E" w:rsidRPr="00136A06">
        <w:rPr>
          <w:lang w:val="en-GB"/>
        </w:rPr>
        <w:t xml:space="preserve">fulfil </w:t>
      </w:r>
      <w:r>
        <w:rPr>
          <w:lang w:val="en-GB"/>
        </w:rPr>
        <w:t xml:space="preserve">that </w:t>
      </w:r>
      <w:r w:rsidR="007C2300">
        <w:rPr>
          <w:lang w:val="en-GB"/>
        </w:rPr>
        <w:t>role</w:t>
      </w:r>
      <w:r w:rsidR="00B8503E" w:rsidRPr="00136A06">
        <w:rPr>
          <w:lang w:val="en-GB"/>
        </w:rPr>
        <w:t xml:space="preserve"> </w:t>
      </w:r>
      <w:r>
        <w:rPr>
          <w:lang w:val="en-GB"/>
        </w:rPr>
        <w:t xml:space="preserve">properly and </w:t>
      </w:r>
      <w:r w:rsidR="007C2300">
        <w:rPr>
          <w:lang w:val="en-GB"/>
        </w:rPr>
        <w:t>effectively</w:t>
      </w:r>
      <w:r w:rsidR="007C2300">
        <w:t>.</w:t>
      </w:r>
    </w:p>
    <w:p w:rsidR="00096908" w:rsidRPr="00D83C38" w:rsidRDefault="00096908" w:rsidP="00096908">
      <w:pPr>
        <w:pStyle w:val="CAR-Heading-1"/>
        <w:outlineLvl w:val="0"/>
      </w:pPr>
      <w:r w:rsidRPr="00D83C38">
        <w:t xml:space="preserve">Role of the </w:t>
      </w:r>
      <w:r>
        <w:t>CALDB</w:t>
      </w:r>
    </w:p>
    <w:p w:rsidR="00096908" w:rsidRPr="00D83C38" w:rsidRDefault="00A7150E" w:rsidP="00096908">
      <w:pPr>
        <w:pStyle w:val="CAR-BodyText-Left"/>
        <w:rPr>
          <w:lang w:val="en-GB"/>
        </w:rPr>
      </w:pPr>
      <w:r>
        <w:t>CALDB</w:t>
      </w:r>
      <w:r w:rsidRPr="00D83C38">
        <w:t xml:space="preserve"> is an independent statutory body established </w:t>
      </w:r>
      <w:r w:rsidR="0039258B">
        <w:t xml:space="preserve">under </w:t>
      </w:r>
      <w:r w:rsidRPr="00D83C38">
        <w:t xml:space="preserve">Part 11 of </w:t>
      </w:r>
      <w:r>
        <w:t>the ASIC Act with the</w:t>
      </w:r>
      <w:r w:rsidRPr="00D83C38">
        <w:t xml:space="preserve"> powers and functions </w:t>
      </w:r>
      <w:r>
        <w:t xml:space="preserve">provided in Part 9.2 of </w:t>
      </w:r>
      <w:r w:rsidRPr="00D83C38">
        <w:t xml:space="preserve">the </w:t>
      </w:r>
      <w:r w:rsidRPr="00D83C38">
        <w:rPr>
          <w:i/>
          <w:iCs/>
        </w:rPr>
        <w:t>Corporations Act 2001</w:t>
      </w:r>
      <w:r>
        <w:rPr>
          <w:i/>
          <w:iCs/>
        </w:rPr>
        <w:t xml:space="preserve"> </w:t>
      </w:r>
      <w:r>
        <w:rPr>
          <w:iCs/>
        </w:rPr>
        <w:t>(‘Corporations Act’)</w:t>
      </w:r>
      <w:r w:rsidRPr="008702A2">
        <w:t xml:space="preserve">.  </w:t>
      </w:r>
      <w:r w:rsidR="00096908" w:rsidRPr="007E2B8E">
        <w:t>The Minister responsible for CALDB</w:t>
      </w:r>
      <w:r w:rsidR="00096908" w:rsidRPr="008702A2">
        <w:t xml:space="preserve"> is the Treasurer</w:t>
      </w:r>
      <w:r w:rsidR="00511DDD">
        <w:t xml:space="preserve"> ('The Minister')</w:t>
      </w:r>
      <w:r w:rsidR="00096908" w:rsidRPr="00527FE1">
        <w:t>.</w:t>
      </w:r>
    </w:p>
    <w:p w:rsidR="00096908" w:rsidRDefault="00096908" w:rsidP="00096908">
      <w:pPr>
        <w:pStyle w:val="CAR-BodyText-Left"/>
        <w:rPr>
          <w:lang w:val="en-GB"/>
        </w:rPr>
      </w:pPr>
      <w:r>
        <w:rPr>
          <w:lang w:val="en-GB"/>
        </w:rPr>
        <w:t xml:space="preserve">CALDB, </w:t>
      </w:r>
      <w:r w:rsidRPr="00D83C38">
        <w:rPr>
          <w:lang w:val="en-GB"/>
        </w:rPr>
        <w:t>along with several other bodies,</w:t>
      </w:r>
      <w:r w:rsidR="00A93B96">
        <w:rPr>
          <w:lang w:val="en-GB"/>
        </w:rPr>
        <w:t xml:space="preserve"> including ASIC,</w:t>
      </w:r>
      <w:r w:rsidRPr="00D83C38">
        <w:rPr>
          <w:lang w:val="en-GB"/>
        </w:rPr>
        <w:t xml:space="preserve"> the Australian Prudential Regulation Authority (‘APRA’), the Financial Reporting Council and various professional associations, </w:t>
      </w:r>
      <w:r>
        <w:rPr>
          <w:lang w:val="en-GB"/>
        </w:rPr>
        <w:t>plays</w:t>
      </w:r>
      <w:r w:rsidRPr="00D83C38">
        <w:rPr>
          <w:lang w:val="en-GB"/>
        </w:rPr>
        <w:t xml:space="preserve"> an important role </w:t>
      </w:r>
      <w:r>
        <w:rPr>
          <w:lang w:val="en-GB"/>
        </w:rPr>
        <w:t>for</w:t>
      </w:r>
      <w:r w:rsidRPr="00D83C38">
        <w:rPr>
          <w:lang w:val="en-GB"/>
        </w:rPr>
        <w:t xml:space="preserve"> the Australian economy</w:t>
      </w:r>
      <w:r>
        <w:rPr>
          <w:lang w:val="en-GB"/>
        </w:rPr>
        <w:t xml:space="preserve"> </w:t>
      </w:r>
      <w:r w:rsidRPr="00D83C38">
        <w:rPr>
          <w:lang w:val="en-GB"/>
        </w:rPr>
        <w:t>in the regulation of auditors and liquidators.</w:t>
      </w:r>
    </w:p>
    <w:p w:rsidR="00096908" w:rsidRDefault="00096908" w:rsidP="00096908">
      <w:pPr>
        <w:pStyle w:val="CAR-BodyText-Left"/>
        <w:rPr>
          <w:lang w:val="en-GB"/>
        </w:rPr>
      </w:pPr>
      <w:r w:rsidRPr="00D83C38">
        <w:rPr>
          <w:lang w:val="en-GB"/>
        </w:rPr>
        <w:t xml:space="preserve">The </w:t>
      </w:r>
      <w:r>
        <w:rPr>
          <w:lang w:val="en-GB"/>
        </w:rPr>
        <w:t>primary</w:t>
      </w:r>
      <w:r w:rsidRPr="00D83C38">
        <w:rPr>
          <w:lang w:val="en-GB"/>
        </w:rPr>
        <w:t xml:space="preserve"> role of </w:t>
      </w:r>
      <w:r w:rsidR="0039258B">
        <w:rPr>
          <w:lang w:val="en-GB"/>
        </w:rPr>
        <w:t>CALDB</w:t>
      </w:r>
      <w:r>
        <w:rPr>
          <w:lang w:val="en-GB"/>
        </w:rPr>
        <w:t xml:space="preserve"> </w:t>
      </w:r>
      <w:r w:rsidRPr="00D83C38">
        <w:rPr>
          <w:lang w:val="en-GB"/>
        </w:rPr>
        <w:t xml:space="preserve">is to </w:t>
      </w:r>
      <w:r>
        <w:rPr>
          <w:lang w:val="en-GB"/>
        </w:rPr>
        <w:t xml:space="preserve">act as an expert </w:t>
      </w:r>
      <w:r w:rsidR="00A7150E">
        <w:rPr>
          <w:lang w:val="en-GB"/>
        </w:rPr>
        <w:t xml:space="preserve">disciplinary </w:t>
      </w:r>
      <w:r>
        <w:rPr>
          <w:lang w:val="en-GB"/>
        </w:rPr>
        <w:t xml:space="preserve">tribunal to </w:t>
      </w:r>
      <w:r w:rsidRPr="00D83C38">
        <w:rPr>
          <w:lang w:val="en-GB"/>
        </w:rPr>
        <w:t>consider applications for the cancellation or suspension of the registration of auditors or liquidators under the pro</w:t>
      </w:r>
      <w:r>
        <w:rPr>
          <w:lang w:val="en-GB"/>
        </w:rPr>
        <w:t>visions of the Corporations Act</w:t>
      </w:r>
      <w:r w:rsidRPr="00D83C38">
        <w:rPr>
          <w:lang w:val="en-GB"/>
        </w:rPr>
        <w:t xml:space="preserve">.  </w:t>
      </w:r>
      <w:r>
        <w:rPr>
          <w:lang w:val="en-GB"/>
        </w:rPr>
        <w:t>CALDB has no power to instigate applications. Applications are brought to CALDB by ASIC or APRA.</w:t>
      </w:r>
    </w:p>
    <w:p w:rsidR="00096908" w:rsidRDefault="00A7150E" w:rsidP="00096908">
      <w:pPr>
        <w:pStyle w:val="CAR-BodyText-Left"/>
      </w:pPr>
      <w:r>
        <w:t>On an application brought before it in relation to a registered au</w:t>
      </w:r>
      <w:r w:rsidR="007F06E6">
        <w:t>ditor or registered liquidator, C</w:t>
      </w:r>
      <w:r w:rsidR="00096908">
        <w:t>ALDB</w:t>
      </w:r>
      <w:r w:rsidR="00096908" w:rsidRPr="00D83C38">
        <w:t xml:space="preserve"> </w:t>
      </w:r>
      <w:r w:rsidR="00096908">
        <w:t>may impose sanctions if</w:t>
      </w:r>
      <w:r w:rsidR="00096908" w:rsidRPr="00D83C38">
        <w:t xml:space="preserve"> </w:t>
      </w:r>
      <w:r w:rsidR="00096908">
        <w:t>satisfied</w:t>
      </w:r>
      <w:r>
        <w:t xml:space="preserve"> of particular matters, including that the auditor or liquidator</w:t>
      </w:r>
      <w:r w:rsidR="00096908">
        <w:t>:</w:t>
      </w:r>
    </w:p>
    <w:p w:rsidR="00096908" w:rsidRDefault="00096908" w:rsidP="0023751A">
      <w:pPr>
        <w:pStyle w:val="CAR-Bullet-1"/>
      </w:pPr>
      <w:r w:rsidRPr="00D83C38">
        <w:t>has failed to carry out his or her duties or functions adequately and properly</w:t>
      </w:r>
      <w:r>
        <w:t>;</w:t>
      </w:r>
    </w:p>
    <w:p w:rsidR="00096908" w:rsidRDefault="00096908" w:rsidP="0023751A">
      <w:pPr>
        <w:pStyle w:val="CAR-Bullet-1"/>
      </w:pPr>
      <w:r w:rsidRPr="00D83C38">
        <w:t>is not a fit and proper person to remain registered</w:t>
      </w:r>
      <w:r>
        <w:t>; or</w:t>
      </w:r>
    </w:p>
    <w:p w:rsidR="00096908" w:rsidRDefault="00096908" w:rsidP="0023751A">
      <w:pPr>
        <w:pStyle w:val="CAR-Bullet-1"/>
      </w:pPr>
      <w:proofErr w:type="gramStart"/>
      <w:r>
        <w:t>has</w:t>
      </w:r>
      <w:proofErr w:type="gramEnd"/>
      <w:r>
        <w:t xml:space="preserve"> contravened certain provisions of the Corporations Act.</w:t>
      </w:r>
    </w:p>
    <w:p w:rsidR="00096908" w:rsidRPr="0023751A" w:rsidRDefault="00096908" w:rsidP="0023751A">
      <w:pPr>
        <w:pStyle w:val="CAR-BodyText-Left"/>
      </w:pPr>
      <w:r w:rsidRPr="0023751A">
        <w:t>If CALDB determines any of these matters to be established</w:t>
      </w:r>
      <w:r w:rsidR="00A7150E" w:rsidRPr="0023751A">
        <w:t>, it may impose sanctions including orders for cancellation or suspension of the registration of auditor or liquidator</w:t>
      </w:r>
      <w:r w:rsidRPr="0023751A">
        <w:t xml:space="preserve">. </w:t>
      </w:r>
    </w:p>
    <w:p w:rsidR="00096908" w:rsidRPr="0023751A" w:rsidRDefault="00096908" w:rsidP="0023751A">
      <w:pPr>
        <w:pStyle w:val="CAR-BodyText-Left"/>
      </w:pPr>
      <w:r w:rsidRPr="0023751A">
        <w:t>The responsibilities conferred on CALDB by the Corporations Act are intended to provide an incentive to registered auditors and liquidators to maintain high professional standards. CALDB</w:t>
      </w:r>
      <w:r w:rsidR="00A7150E" w:rsidRPr="0023751A">
        <w:t>’s</w:t>
      </w:r>
      <w:r w:rsidR="0039258B" w:rsidRPr="0023751A">
        <w:t xml:space="preserve"> jurisdiction</w:t>
      </w:r>
      <w:r w:rsidR="00A7150E" w:rsidRPr="0023751A">
        <w:t xml:space="preserve"> to</w:t>
      </w:r>
      <w:r w:rsidRPr="0023751A">
        <w:t xml:space="preserve"> </w:t>
      </w:r>
      <w:r w:rsidR="00A7150E" w:rsidRPr="0023751A">
        <w:t xml:space="preserve">cancel or suspend an auditor’s or liquidator’s registration </w:t>
      </w:r>
      <w:r w:rsidRPr="0023751A">
        <w:t>also has a public protective and educative role</w:t>
      </w:r>
      <w:r w:rsidR="0039258B" w:rsidRPr="0023751A">
        <w:t>.</w:t>
      </w:r>
    </w:p>
    <w:p w:rsidR="0039258B" w:rsidRPr="0023751A" w:rsidRDefault="0039258B" w:rsidP="0023751A">
      <w:pPr>
        <w:pStyle w:val="CAR-BodyText-Left"/>
      </w:pPr>
      <w:r w:rsidRPr="0023751A">
        <w:t xml:space="preserve">As a wholly independent body made up of part time professionals and business members, CALDB is able to fulfil the essential function of an independent and impartial tribunal, capable of ensuring that natural justice is accorded to parties appearing before it. </w:t>
      </w:r>
    </w:p>
    <w:p w:rsidR="0039258B" w:rsidRPr="0023751A" w:rsidRDefault="0039258B" w:rsidP="0023751A">
      <w:pPr>
        <w:pStyle w:val="CAR-BodyText-Left"/>
      </w:pPr>
      <w:r w:rsidRPr="0023751A">
        <w:t>As a tribunal whose procedures are designed to avoid technicality and delay, CALDB has the ability to facilitate the expeditious and cost-effective resolution of matters. Moreover, as an expert tribunal with the ability to assess applications by reference to its own expert knowledge of professional standards, CALDB is in a unique position to deal with matters without the necessity for time consuming and costly expert evidence, necessary in other tribunals or courts.</w:t>
      </w:r>
    </w:p>
    <w:p w:rsidR="0039258B" w:rsidRDefault="00330F7D" w:rsidP="0023751A">
      <w:pPr>
        <w:pStyle w:val="CAR-BodyText-Left"/>
      </w:pPr>
      <w:r>
        <w:rPr>
          <w:lang w:val="en-GB"/>
        </w:rPr>
        <w:t xml:space="preserve">The </w:t>
      </w:r>
      <w:r w:rsidRPr="0023751A">
        <w:t>decisions</w:t>
      </w:r>
      <w:r>
        <w:rPr>
          <w:lang w:val="en-GB"/>
        </w:rPr>
        <w:t xml:space="preserve"> of the Board are important in identifying and upholding professional standards and applying them to particular fact situations, and they form an important aspect of the educative function of the Board.</w:t>
      </w:r>
    </w:p>
    <w:p w:rsidR="00306FBA" w:rsidRPr="00D83C38" w:rsidRDefault="00306FBA" w:rsidP="00136A06">
      <w:pPr>
        <w:pStyle w:val="CAR-Heading-1"/>
        <w:outlineLvl w:val="0"/>
      </w:pPr>
      <w:r w:rsidRPr="00D83C38">
        <w:t>Constitution</w:t>
      </w:r>
      <w:r w:rsidR="00615C01">
        <w:t xml:space="preserve"> of CALDB and current Board membership</w:t>
      </w:r>
    </w:p>
    <w:p w:rsidR="00306FBA" w:rsidRPr="00D83C38" w:rsidRDefault="00BF2E91">
      <w:pPr>
        <w:pStyle w:val="CAR-BodyText-Left"/>
      </w:pPr>
      <w:r w:rsidRPr="00D83C38">
        <w:t>The</w:t>
      </w:r>
      <w:r w:rsidR="00306FBA" w:rsidRPr="00D83C38">
        <w:t xml:space="preserve"> </w:t>
      </w:r>
      <w:r w:rsidR="002E0861">
        <w:t xml:space="preserve">ASIC Act provides that the </w:t>
      </w:r>
      <w:r w:rsidR="00527FE1">
        <w:t>CALDB</w:t>
      </w:r>
      <w:r w:rsidR="00527FE1" w:rsidRPr="00D83C38">
        <w:t xml:space="preserve"> </w:t>
      </w:r>
      <w:r w:rsidR="00306FBA" w:rsidRPr="00D83C38">
        <w:t>consist</w:t>
      </w:r>
      <w:r w:rsidRPr="00D83C38">
        <w:t>s</w:t>
      </w:r>
      <w:r w:rsidR="00306FBA" w:rsidRPr="00D83C38">
        <w:t xml:space="preserve"> of the following:</w:t>
      </w:r>
    </w:p>
    <w:p w:rsidR="00306FBA" w:rsidRPr="00D83C38" w:rsidRDefault="007B2692">
      <w:pPr>
        <w:pStyle w:val="CAR-Flush-Alpha-Lower"/>
        <w:spacing w:after="180"/>
      </w:pPr>
      <w:r>
        <w:t>a</w:t>
      </w:r>
      <w:r w:rsidR="002E0861">
        <w:t xml:space="preserve"> </w:t>
      </w:r>
      <w:r w:rsidR="00306FBA" w:rsidRPr="00D83C38">
        <w:t>Chairperson;</w:t>
      </w:r>
    </w:p>
    <w:p w:rsidR="00306FBA" w:rsidRPr="00D83C38" w:rsidRDefault="007B2692">
      <w:pPr>
        <w:pStyle w:val="CAR-Flush-Alpha-Lower"/>
        <w:spacing w:after="180"/>
      </w:pPr>
      <w:r>
        <w:t>a</w:t>
      </w:r>
      <w:r w:rsidR="002E0861">
        <w:t xml:space="preserve"> </w:t>
      </w:r>
      <w:r w:rsidR="00306FBA" w:rsidRPr="00D83C38">
        <w:t>Deputy Chairperson;</w:t>
      </w:r>
    </w:p>
    <w:p w:rsidR="00306FBA" w:rsidRPr="00D83C38" w:rsidRDefault="00306FBA">
      <w:pPr>
        <w:pStyle w:val="CAR-Flush-Alpha-Lower"/>
        <w:spacing w:after="180"/>
      </w:pPr>
      <w:r w:rsidRPr="00D83C38">
        <w:t>six accounting members selected by the Minister; and</w:t>
      </w:r>
    </w:p>
    <w:p w:rsidR="00306FBA" w:rsidRPr="00D83C38" w:rsidRDefault="00306FBA">
      <w:pPr>
        <w:pStyle w:val="CAR-Flush-Alpha-Lower"/>
      </w:pPr>
      <w:proofErr w:type="gramStart"/>
      <w:r w:rsidRPr="00D83C38">
        <w:t>six</w:t>
      </w:r>
      <w:proofErr w:type="gramEnd"/>
      <w:r w:rsidRPr="00D83C38">
        <w:t xml:space="preserve"> business members selected by the Minister.</w:t>
      </w:r>
    </w:p>
    <w:p w:rsidR="00306FBA" w:rsidRPr="00D83C38" w:rsidRDefault="00306FBA">
      <w:pPr>
        <w:pStyle w:val="CAR-BodyText-Left"/>
      </w:pPr>
      <w:r w:rsidRPr="00D83C38">
        <w:t>The Chairperson and the Deputy Chairperson must each be enrolled as a barrister, as a solicitor, or as a barrister and solicitor or as a legal practitioner of the High Court, any Federal Court or the Supreme Court of a State or Territory and must have been so enrolled for a period of at least five years. Accounting members are required to be a resident of Australia and a member of a professional accounting body or any other body prescribed by regulation. Business members represent the business community and have qualifications, knowledge or experience in business or commerce, the administration of companies, financial markets, financial products and services, economics or law.</w:t>
      </w:r>
    </w:p>
    <w:p w:rsidR="00306FBA" w:rsidRDefault="00306FBA">
      <w:pPr>
        <w:pStyle w:val="CAR-BodyText-Left"/>
      </w:pPr>
      <w:r w:rsidRPr="00D83C38">
        <w:t xml:space="preserve">All appointments are made by the Minister and are </w:t>
      </w:r>
      <w:r w:rsidR="00715366" w:rsidRPr="00D83C38">
        <w:t>part-time</w:t>
      </w:r>
      <w:r w:rsidRPr="00D83C38">
        <w:t xml:space="preserve"> appointments. Appointments are for a period of no longer than three years. The appointees are eligible for re</w:t>
      </w:r>
      <w:r w:rsidRPr="00D83C38">
        <w:noBreakHyphen/>
        <w:t>appointment.</w:t>
      </w:r>
    </w:p>
    <w:p w:rsidR="00615C01" w:rsidRPr="00D83C38" w:rsidRDefault="00615C01" w:rsidP="00136A06">
      <w:pPr>
        <w:pStyle w:val="CAR-BodyText-Left"/>
        <w:outlineLvl w:val="0"/>
      </w:pPr>
      <w:r>
        <w:t xml:space="preserve"> Details of </w:t>
      </w:r>
      <w:r w:rsidRPr="00D83C38">
        <w:t>Board members during the reporting year</w:t>
      </w:r>
      <w:r>
        <w:t>:</w:t>
      </w:r>
    </w:p>
    <w:tbl>
      <w:tblPr>
        <w:tblW w:w="7711" w:type="dxa"/>
        <w:tblInd w:w="108" w:type="dxa"/>
        <w:tblBorders>
          <w:top w:val="single" w:sz="2" w:space="0" w:color="000080"/>
          <w:bottom w:val="single" w:sz="2" w:space="0" w:color="000080"/>
        </w:tblBorders>
        <w:tblLook w:val="01E0"/>
      </w:tblPr>
      <w:tblGrid>
        <w:gridCol w:w="2582"/>
        <w:gridCol w:w="3165"/>
        <w:gridCol w:w="1964"/>
      </w:tblGrid>
      <w:tr w:rsidR="00615C01" w:rsidRPr="00D83C38" w:rsidTr="00626686">
        <w:trPr>
          <w:tblHeader/>
        </w:trPr>
        <w:tc>
          <w:tcPr>
            <w:tcW w:w="2582" w:type="dxa"/>
            <w:tcBorders>
              <w:top w:val="single" w:sz="2" w:space="0" w:color="000080"/>
              <w:bottom w:val="single" w:sz="2" w:space="0" w:color="000080"/>
            </w:tcBorders>
            <w:shd w:val="clear" w:color="auto" w:fill="D5D5FF"/>
          </w:tcPr>
          <w:p w:rsidR="00615C01" w:rsidRPr="00D83C38" w:rsidRDefault="00615C01" w:rsidP="00615C01">
            <w:pPr>
              <w:pStyle w:val="CAR-TableColHead-Left"/>
            </w:pPr>
            <w:r w:rsidRPr="00D83C38">
              <w:t>Name</w:t>
            </w:r>
          </w:p>
        </w:tc>
        <w:tc>
          <w:tcPr>
            <w:tcW w:w="3165" w:type="dxa"/>
            <w:tcBorders>
              <w:top w:val="single" w:sz="2" w:space="0" w:color="000080"/>
              <w:bottom w:val="single" w:sz="2" w:space="0" w:color="000080"/>
            </w:tcBorders>
            <w:shd w:val="clear" w:color="auto" w:fill="D5D5FF"/>
          </w:tcPr>
          <w:p w:rsidR="00615C01" w:rsidRPr="00D83C38" w:rsidRDefault="00615C01" w:rsidP="00615C01">
            <w:pPr>
              <w:pStyle w:val="CAR-TableColHead-Left"/>
            </w:pPr>
            <w:r w:rsidRPr="00D83C38">
              <w:t>Role</w:t>
            </w:r>
          </w:p>
        </w:tc>
        <w:tc>
          <w:tcPr>
            <w:tcW w:w="1964" w:type="dxa"/>
            <w:tcBorders>
              <w:top w:val="single" w:sz="2" w:space="0" w:color="000080"/>
              <w:bottom w:val="single" w:sz="2" w:space="0" w:color="000080"/>
            </w:tcBorders>
            <w:shd w:val="clear" w:color="auto" w:fill="D5D5FF"/>
          </w:tcPr>
          <w:p w:rsidR="00615C01" w:rsidRPr="00D83C38" w:rsidRDefault="00615C01" w:rsidP="00615C01">
            <w:pPr>
              <w:pStyle w:val="CAR-TableColHead-Right"/>
            </w:pPr>
            <w:r w:rsidRPr="00D83C38">
              <w:t>Term expires/expired</w:t>
            </w:r>
          </w:p>
        </w:tc>
      </w:tr>
      <w:tr w:rsidR="00615C01" w:rsidRPr="00D83C38" w:rsidTr="009759F7">
        <w:tc>
          <w:tcPr>
            <w:tcW w:w="2582" w:type="dxa"/>
            <w:tcBorders>
              <w:top w:val="single" w:sz="2" w:space="0" w:color="000080"/>
              <w:bottom w:val="nil"/>
              <w:right w:val="nil"/>
            </w:tcBorders>
          </w:tcPr>
          <w:p w:rsidR="00615C01" w:rsidRPr="00D83C38" w:rsidRDefault="00615C01" w:rsidP="00615C01">
            <w:pPr>
              <w:pStyle w:val="CAR-TableText-Left"/>
            </w:pPr>
            <w:r w:rsidRPr="00D83C38">
              <w:t>Howard Insall SC</w:t>
            </w:r>
          </w:p>
        </w:tc>
        <w:tc>
          <w:tcPr>
            <w:tcW w:w="3165" w:type="dxa"/>
            <w:tcBorders>
              <w:top w:val="single" w:sz="2" w:space="0" w:color="000080"/>
              <w:left w:val="nil"/>
              <w:bottom w:val="nil"/>
              <w:right w:val="nil"/>
            </w:tcBorders>
          </w:tcPr>
          <w:p w:rsidR="00615C01" w:rsidRPr="00D83C38" w:rsidRDefault="00615C01" w:rsidP="00615C01">
            <w:pPr>
              <w:pStyle w:val="CAR-TableText-Left"/>
            </w:pPr>
            <w:r w:rsidRPr="00D83C38">
              <w:t xml:space="preserve">Chairperson </w:t>
            </w:r>
          </w:p>
        </w:tc>
        <w:tc>
          <w:tcPr>
            <w:tcW w:w="1964" w:type="dxa"/>
            <w:tcBorders>
              <w:top w:val="single" w:sz="2" w:space="0" w:color="000080"/>
              <w:left w:val="nil"/>
              <w:bottom w:val="nil"/>
            </w:tcBorders>
          </w:tcPr>
          <w:p w:rsidR="00615C01" w:rsidRPr="00D83C38" w:rsidRDefault="00615C01" w:rsidP="009759F7">
            <w:pPr>
              <w:pStyle w:val="CAR-TableText-Right"/>
            </w:pPr>
            <w:r w:rsidRPr="00D83C38">
              <w:t>30 November 2013</w:t>
            </w:r>
          </w:p>
        </w:tc>
      </w:tr>
      <w:tr w:rsidR="006549D7" w:rsidRPr="00D83C38" w:rsidTr="009759F7">
        <w:tc>
          <w:tcPr>
            <w:tcW w:w="2582" w:type="dxa"/>
            <w:tcBorders>
              <w:top w:val="nil"/>
              <w:bottom w:val="nil"/>
              <w:right w:val="nil"/>
            </w:tcBorders>
          </w:tcPr>
          <w:p w:rsidR="006549D7" w:rsidRPr="00D83C38" w:rsidRDefault="006549D7" w:rsidP="00615C01">
            <w:pPr>
              <w:pStyle w:val="CAR-TableText-Left"/>
            </w:pPr>
            <w:r>
              <w:t>David Castle</w:t>
            </w:r>
          </w:p>
        </w:tc>
        <w:tc>
          <w:tcPr>
            <w:tcW w:w="3165" w:type="dxa"/>
            <w:tcBorders>
              <w:top w:val="nil"/>
              <w:left w:val="nil"/>
              <w:bottom w:val="nil"/>
              <w:right w:val="nil"/>
            </w:tcBorders>
          </w:tcPr>
          <w:p w:rsidR="006549D7" w:rsidRPr="00D83C38" w:rsidRDefault="006549D7" w:rsidP="00615C01">
            <w:pPr>
              <w:pStyle w:val="CAR-TableText-Left"/>
            </w:pPr>
            <w:r>
              <w:t>Acting Deputy Chairperson</w:t>
            </w:r>
          </w:p>
        </w:tc>
        <w:tc>
          <w:tcPr>
            <w:tcW w:w="1964" w:type="dxa"/>
            <w:tcBorders>
              <w:top w:val="nil"/>
              <w:left w:val="nil"/>
              <w:bottom w:val="nil"/>
            </w:tcBorders>
          </w:tcPr>
          <w:p w:rsidR="006549D7" w:rsidRPr="00D83C38" w:rsidRDefault="006549D7" w:rsidP="00615C01">
            <w:pPr>
              <w:pStyle w:val="CAR-TableText-Right"/>
            </w:pPr>
            <w:r>
              <w:t>14 March 2013</w:t>
            </w:r>
          </w:p>
        </w:tc>
      </w:tr>
      <w:tr w:rsidR="006549D7" w:rsidRPr="00D83C38" w:rsidTr="00626686">
        <w:trPr>
          <w:cantSplit/>
        </w:trPr>
        <w:tc>
          <w:tcPr>
            <w:tcW w:w="2582" w:type="dxa"/>
            <w:tcBorders>
              <w:top w:val="nil"/>
              <w:bottom w:val="nil"/>
            </w:tcBorders>
          </w:tcPr>
          <w:p w:rsidR="006549D7" w:rsidRDefault="006549D7" w:rsidP="00615C01">
            <w:pPr>
              <w:pStyle w:val="CAR-TableText-Left"/>
            </w:pPr>
            <w:r>
              <w:t xml:space="preserve">Judith </w:t>
            </w:r>
            <w:proofErr w:type="spellStart"/>
            <w:r>
              <w:t>Downes</w:t>
            </w:r>
            <w:proofErr w:type="spellEnd"/>
          </w:p>
        </w:tc>
        <w:tc>
          <w:tcPr>
            <w:tcW w:w="3165" w:type="dxa"/>
            <w:tcBorders>
              <w:top w:val="nil"/>
              <w:bottom w:val="nil"/>
            </w:tcBorders>
          </w:tcPr>
          <w:p w:rsidR="006549D7" w:rsidRDefault="006549D7" w:rsidP="00615C01">
            <w:pPr>
              <w:pStyle w:val="CAR-TableText-Left"/>
            </w:pPr>
            <w:r>
              <w:t>Accounting member</w:t>
            </w:r>
          </w:p>
        </w:tc>
        <w:tc>
          <w:tcPr>
            <w:tcW w:w="1964" w:type="dxa"/>
            <w:tcBorders>
              <w:top w:val="nil"/>
              <w:bottom w:val="nil"/>
            </w:tcBorders>
          </w:tcPr>
          <w:p w:rsidR="006549D7" w:rsidRDefault="006549D7" w:rsidP="00615C01">
            <w:pPr>
              <w:pStyle w:val="CAR-TableText-Right"/>
            </w:pPr>
            <w:r>
              <w:t>14 December 2015</w:t>
            </w:r>
          </w:p>
        </w:tc>
      </w:tr>
      <w:tr w:rsidR="00615C01" w:rsidRPr="00D83C38" w:rsidTr="009759F7">
        <w:tc>
          <w:tcPr>
            <w:tcW w:w="2582" w:type="dxa"/>
            <w:tcBorders>
              <w:top w:val="nil"/>
            </w:tcBorders>
          </w:tcPr>
          <w:p w:rsidR="00615C01" w:rsidRPr="00D83C38" w:rsidRDefault="00615C01" w:rsidP="00615C01">
            <w:pPr>
              <w:pStyle w:val="CAR-TableText-Left"/>
            </w:pPr>
            <w:r w:rsidRPr="00D83C38">
              <w:t>Robert Ferguson</w:t>
            </w:r>
          </w:p>
        </w:tc>
        <w:tc>
          <w:tcPr>
            <w:tcW w:w="3165" w:type="dxa"/>
            <w:tcBorders>
              <w:top w:val="nil"/>
            </w:tcBorders>
          </w:tcPr>
          <w:p w:rsidR="00615C01" w:rsidRPr="00D83C38" w:rsidRDefault="00615C01" w:rsidP="00615C01">
            <w:pPr>
              <w:pStyle w:val="CAR-TableText-Left"/>
            </w:pPr>
            <w:r w:rsidRPr="00D83C38">
              <w:t xml:space="preserve">Accounting member </w:t>
            </w:r>
          </w:p>
        </w:tc>
        <w:tc>
          <w:tcPr>
            <w:tcW w:w="1964" w:type="dxa"/>
            <w:tcBorders>
              <w:top w:val="nil"/>
            </w:tcBorders>
          </w:tcPr>
          <w:p w:rsidR="00615C01" w:rsidRPr="00D83C38" w:rsidRDefault="00615C01" w:rsidP="00615C01">
            <w:pPr>
              <w:pStyle w:val="CAR-TableText-Right"/>
            </w:pPr>
            <w:r>
              <w:t>28</w:t>
            </w:r>
            <w:r w:rsidRPr="00D83C38">
              <w:t xml:space="preserve"> January 201</w:t>
            </w:r>
            <w:r>
              <w:t>6</w:t>
            </w:r>
          </w:p>
        </w:tc>
      </w:tr>
      <w:tr w:rsidR="00615C01" w:rsidRPr="00D83C38">
        <w:tc>
          <w:tcPr>
            <w:tcW w:w="2582" w:type="dxa"/>
          </w:tcPr>
          <w:p w:rsidR="00615C01" w:rsidRPr="00D83C38" w:rsidRDefault="00615C01" w:rsidP="00615C01">
            <w:pPr>
              <w:pStyle w:val="CAR-TableText-Left"/>
            </w:pPr>
            <w:r w:rsidRPr="00D83C38">
              <w:t>George Georges</w:t>
            </w:r>
          </w:p>
        </w:tc>
        <w:tc>
          <w:tcPr>
            <w:tcW w:w="3165" w:type="dxa"/>
          </w:tcPr>
          <w:p w:rsidR="00615C01" w:rsidRPr="00D83C38" w:rsidRDefault="00615C01" w:rsidP="00615C01">
            <w:pPr>
              <w:pStyle w:val="CAR-TableText-Left"/>
            </w:pPr>
            <w:r w:rsidRPr="00D83C38">
              <w:t>Accounting member</w:t>
            </w:r>
          </w:p>
        </w:tc>
        <w:tc>
          <w:tcPr>
            <w:tcW w:w="1964" w:type="dxa"/>
          </w:tcPr>
          <w:p w:rsidR="00615C01" w:rsidRPr="00D83C38" w:rsidRDefault="00615C01" w:rsidP="00615C01">
            <w:pPr>
              <w:pStyle w:val="CAR-TableText-Right"/>
            </w:pPr>
            <w:r w:rsidRPr="00D83C38">
              <w:t>30 November 2013</w:t>
            </w:r>
          </w:p>
        </w:tc>
      </w:tr>
      <w:tr w:rsidR="00615C01" w:rsidRPr="00D83C38">
        <w:tc>
          <w:tcPr>
            <w:tcW w:w="2582" w:type="dxa"/>
          </w:tcPr>
          <w:p w:rsidR="00615C01" w:rsidRPr="00D83C38" w:rsidRDefault="00615C01" w:rsidP="00615C01">
            <w:pPr>
              <w:pStyle w:val="CAR-TableText-Left"/>
            </w:pPr>
            <w:r w:rsidRPr="00D83C38">
              <w:t>Bruce Gleeson</w:t>
            </w:r>
          </w:p>
        </w:tc>
        <w:tc>
          <w:tcPr>
            <w:tcW w:w="3165" w:type="dxa"/>
          </w:tcPr>
          <w:p w:rsidR="00615C01" w:rsidRPr="00D83C38" w:rsidRDefault="00615C01" w:rsidP="00615C01">
            <w:pPr>
              <w:pStyle w:val="CAR-TableText-Left"/>
            </w:pPr>
            <w:r w:rsidRPr="00D83C38">
              <w:t>Accounting member</w:t>
            </w:r>
          </w:p>
        </w:tc>
        <w:tc>
          <w:tcPr>
            <w:tcW w:w="1964" w:type="dxa"/>
          </w:tcPr>
          <w:p w:rsidR="00615C01" w:rsidRPr="00D83C38" w:rsidRDefault="00615C01" w:rsidP="00615C01">
            <w:pPr>
              <w:pStyle w:val="CAR-TableText-Right"/>
            </w:pPr>
            <w:r>
              <w:t>28</w:t>
            </w:r>
            <w:r w:rsidRPr="00D83C38">
              <w:t xml:space="preserve"> January 201</w:t>
            </w:r>
            <w:r>
              <w:t>6</w:t>
            </w:r>
          </w:p>
        </w:tc>
      </w:tr>
      <w:tr w:rsidR="00615C01" w:rsidRPr="00D83C38">
        <w:tc>
          <w:tcPr>
            <w:tcW w:w="2582" w:type="dxa"/>
          </w:tcPr>
          <w:p w:rsidR="00615C01" w:rsidRPr="00D83C38" w:rsidRDefault="00615C01" w:rsidP="00615C01">
            <w:pPr>
              <w:pStyle w:val="CAR-TableText-Left"/>
            </w:pPr>
            <w:r>
              <w:t>David Sauer</w:t>
            </w:r>
            <w:r w:rsidRPr="00D83C38">
              <w:t xml:space="preserve"> </w:t>
            </w:r>
          </w:p>
        </w:tc>
        <w:tc>
          <w:tcPr>
            <w:tcW w:w="3165" w:type="dxa"/>
          </w:tcPr>
          <w:p w:rsidR="00615C01" w:rsidRPr="00D83C38" w:rsidRDefault="00615C01" w:rsidP="00615C01">
            <w:pPr>
              <w:pStyle w:val="CAR-TableText-Left"/>
            </w:pPr>
            <w:r w:rsidRPr="00D83C38">
              <w:t xml:space="preserve">Accounting member </w:t>
            </w:r>
          </w:p>
        </w:tc>
        <w:tc>
          <w:tcPr>
            <w:tcW w:w="1964" w:type="dxa"/>
          </w:tcPr>
          <w:p w:rsidR="00615C01" w:rsidRPr="00D83C38" w:rsidRDefault="00615C01" w:rsidP="00615C01">
            <w:pPr>
              <w:pStyle w:val="CAR-TableText-Right"/>
            </w:pPr>
            <w:r>
              <w:t>14 December</w:t>
            </w:r>
            <w:r w:rsidRPr="00D83C38">
              <w:t xml:space="preserve"> 201</w:t>
            </w:r>
            <w:r>
              <w:t>5</w:t>
            </w:r>
          </w:p>
        </w:tc>
      </w:tr>
      <w:tr w:rsidR="00615C01" w:rsidRPr="00D83C38">
        <w:tc>
          <w:tcPr>
            <w:tcW w:w="2582" w:type="dxa"/>
          </w:tcPr>
          <w:p w:rsidR="00615C01" w:rsidRPr="00D83C38" w:rsidRDefault="00615C01" w:rsidP="00615C01">
            <w:pPr>
              <w:pStyle w:val="CAR-TableText-Left"/>
            </w:pPr>
            <w:r w:rsidRPr="00D83C38">
              <w:t>Eric Passaris</w:t>
            </w:r>
          </w:p>
        </w:tc>
        <w:tc>
          <w:tcPr>
            <w:tcW w:w="3165" w:type="dxa"/>
          </w:tcPr>
          <w:p w:rsidR="00615C01" w:rsidRPr="00D83C38" w:rsidRDefault="00615C01" w:rsidP="00615C01">
            <w:pPr>
              <w:pStyle w:val="CAR-TableText-Left"/>
            </w:pPr>
            <w:r w:rsidRPr="00D83C38">
              <w:t xml:space="preserve">Accounting member </w:t>
            </w:r>
          </w:p>
        </w:tc>
        <w:tc>
          <w:tcPr>
            <w:tcW w:w="1964" w:type="dxa"/>
          </w:tcPr>
          <w:p w:rsidR="00615C01" w:rsidRPr="00D83C38" w:rsidRDefault="00615C01" w:rsidP="00615C01">
            <w:pPr>
              <w:pStyle w:val="CAR-TableText-Right"/>
            </w:pPr>
            <w:r>
              <w:t>28</w:t>
            </w:r>
            <w:r w:rsidRPr="00D83C38">
              <w:t xml:space="preserve"> January 201</w:t>
            </w:r>
            <w:r>
              <w:t>6</w:t>
            </w:r>
          </w:p>
        </w:tc>
      </w:tr>
      <w:tr w:rsidR="00615C01" w:rsidRPr="00D83C38">
        <w:tc>
          <w:tcPr>
            <w:tcW w:w="2582" w:type="dxa"/>
          </w:tcPr>
          <w:p w:rsidR="00615C01" w:rsidRPr="00D83C38" w:rsidRDefault="00615C01" w:rsidP="00615C01">
            <w:pPr>
              <w:pStyle w:val="CAR-TableText-Left"/>
            </w:pPr>
            <w:r w:rsidRPr="00D83C38">
              <w:t xml:space="preserve">David Barnett </w:t>
            </w:r>
          </w:p>
        </w:tc>
        <w:tc>
          <w:tcPr>
            <w:tcW w:w="3165" w:type="dxa"/>
          </w:tcPr>
          <w:p w:rsidR="00615C01" w:rsidRPr="00D83C38" w:rsidRDefault="00615C01" w:rsidP="00615C01">
            <w:pPr>
              <w:pStyle w:val="CAR-TableText-Left"/>
            </w:pPr>
            <w:r w:rsidRPr="00D83C38">
              <w:t>Business member</w:t>
            </w:r>
          </w:p>
        </w:tc>
        <w:tc>
          <w:tcPr>
            <w:tcW w:w="1964" w:type="dxa"/>
          </w:tcPr>
          <w:p w:rsidR="00615C01" w:rsidRPr="00D83C38" w:rsidRDefault="00615C01" w:rsidP="00615C01">
            <w:pPr>
              <w:pStyle w:val="CAR-TableText-Right"/>
            </w:pPr>
            <w:r w:rsidRPr="00D83C38">
              <w:t>30 November 2013</w:t>
            </w:r>
          </w:p>
        </w:tc>
      </w:tr>
      <w:tr w:rsidR="00615C01" w:rsidRPr="00D83C38">
        <w:tc>
          <w:tcPr>
            <w:tcW w:w="2582" w:type="dxa"/>
          </w:tcPr>
          <w:p w:rsidR="00615C01" w:rsidRPr="00D83C38" w:rsidRDefault="00615C01" w:rsidP="00615C01">
            <w:pPr>
              <w:pStyle w:val="CAR-TableText-Left"/>
            </w:pPr>
            <w:r w:rsidRPr="00D83C38">
              <w:t xml:space="preserve">Tom Bostock </w:t>
            </w:r>
          </w:p>
        </w:tc>
        <w:tc>
          <w:tcPr>
            <w:tcW w:w="3165" w:type="dxa"/>
          </w:tcPr>
          <w:p w:rsidR="00615C01" w:rsidRPr="00D83C38" w:rsidRDefault="00615C01" w:rsidP="00615C01">
            <w:pPr>
              <w:pStyle w:val="CAR-TableText-Left"/>
            </w:pPr>
            <w:r w:rsidRPr="00D83C38">
              <w:t>Business member</w:t>
            </w:r>
          </w:p>
        </w:tc>
        <w:tc>
          <w:tcPr>
            <w:tcW w:w="1964" w:type="dxa"/>
          </w:tcPr>
          <w:p w:rsidR="00615C01" w:rsidRPr="00D83C38" w:rsidRDefault="00615C01" w:rsidP="00615C01">
            <w:pPr>
              <w:pStyle w:val="CAR-TableText-Right"/>
            </w:pPr>
            <w:r w:rsidRPr="00D83C38">
              <w:t>30 November 2013</w:t>
            </w:r>
          </w:p>
        </w:tc>
      </w:tr>
      <w:tr w:rsidR="00615C01" w:rsidRPr="00D83C38">
        <w:tc>
          <w:tcPr>
            <w:tcW w:w="2582" w:type="dxa"/>
          </w:tcPr>
          <w:p w:rsidR="00615C01" w:rsidRPr="00D83C38" w:rsidRDefault="00615C01" w:rsidP="00615C01">
            <w:pPr>
              <w:pStyle w:val="CAR-TableText-Left"/>
            </w:pPr>
            <w:r w:rsidRPr="00D83C38">
              <w:t>Geoff Brayshaw AM</w:t>
            </w:r>
          </w:p>
        </w:tc>
        <w:tc>
          <w:tcPr>
            <w:tcW w:w="3165" w:type="dxa"/>
          </w:tcPr>
          <w:p w:rsidR="00615C01" w:rsidRPr="00D83C38" w:rsidRDefault="00615C01" w:rsidP="00615C01">
            <w:pPr>
              <w:pStyle w:val="CAR-TableText-Left"/>
            </w:pPr>
            <w:r w:rsidRPr="00D83C38">
              <w:t>Business member</w:t>
            </w:r>
          </w:p>
        </w:tc>
        <w:tc>
          <w:tcPr>
            <w:tcW w:w="1964" w:type="dxa"/>
          </w:tcPr>
          <w:p w:rsidR="00615C01" w:rsidRPr="00D83C38" w:rsidRDefault="00615C01" w:rsidP="00615C01">
            <w:pPr>
              <w:pStyle w:val="CAR-TableText-Right"/>
            </w:pPr>
            <w:r w:rsidRPr="00D83C38">
              <w:t>30 November 2013</w:t>
            </w:r>
          </w:p>
        </w:tc>
      </w:tr>
      <w:tr w:rsidR="00615C01" w:rsidRPr="00D83C38">
        <w:tc>
          <w:tcPr>
            <w:tcW w:w="2582" w:type="dxa"/>
          </w:tcPr>
          <w:p w:rsidR="00615C01" w:rsidRPr="00D83C38" w:rsidRDefault="00615C01" w:rsidP="00615C01">
            <w:pPr>
              <w:pStyle w:val="CAR-TableText-Left"/>
            </w:pPr>
            <w:r w:rsidRPr="00D83C38">
              <w:t xml:space="preserve">John Keeves </w:t>
            </w:r>
          </w:p>
        </w:tc>
        <w:tc>
          <w:tcPr>
            <w:tcW w:w="3165" w:type="dxa"/>
          </w:tcPr>
          <w:p w:rsidR="00615C01" w:rsidRPr="00D83C38" w:rsidRDefault="00615C01" w:rsidP="00615C01">
            <w:pPr>
              <w:pStyle w:val="CAR-TableText-Left"/>
            </w:pPr>
            <w:r w:rsidRPr="00D83C38">
              <w:t>Business member</w:t>
            </w:r>
          </w:p>
        </w:tc>
        <w:tc>
          <w:tcPr>
            <w:tcW w:w="1964" w:type="dxa"/>
          </w:tcPr>
          <w:p w:rsidR="00615C01" w:rsidRPr="00D83C38" w:rsidRDefault="00615C01" w:rsidP="009759F7">
            <w:pPr>
              <w:pStyle w:val="CAR-TableText-Right"/>
            </w:pPr>
            <w:r w:rsidRPr="00D83C38">
              <w:t>30 November 2013</w:t>
            </w:r>
          </w:p>
        </w:tc>
      </w:tr>
      <w:tr w:rsidR="006549D7" w:rsidRPr="00D83C38">
        <w:tc>
          <w:tcPr>
            <w:tcW w:w="2582" w:type="dxa"/>
          </w:tcPr>
          <w:p w:rsidR="006549D7" w:rsidRPr="00D83C38" w:rsidRDefault="006549D7" w:rsidP="00615C01">
            <w:pPr>
              <w:pStyle w:val="CAR-TableText-Left"/>
            </w:pPr>
            <w:r>
              <w:t>Karen O’Flynn</w:t>
            </w:r>
          </w:p>
        </w:tc>
        <w:tc>
          <w:tcPr>
            <w:tcW w:w="3165" w:type="dxa"/>
          </w:tcPr>
          <w:p w:rsidR="006549D7" w:rsidRPr="00D83C38" w:rsidRDefault="006549D7" w:rsidP="00615C01">
            <w:pPr>
              <w:pStyle w:val="CAR-TableText-Left"/>
            </w:pPr>
            <w:r>
              <w:t>Business member</w:t>
            </w:r>
          </w:p>
        </w:tc>
        <w:tc>
          <w:tcPr>
            <w:tcW w:w="1964" w:type="dxa"/>
          </w:tcPr>
          <w:p w:rsidR="006549D7" w:rsidRPr="00D83C38" w:rsidRDefault="006549D7" w:rsidP="00615C01">
            <w:pPr>
              <w:pStyle w:val="CAR-TableText-Right"/>
            </w:pPr>
            <w:r>
              <w:t>14 December 2015</w:t>
            </w:r>
          </w:p>
        </w:tc>
      </w:tr>
      <w:tr w:rsidR="00615C01" w:rsidRPr="00D83C38">
        <w:tc>
          <w:tcPr>
            <w:tcW w:w="2582" w:type="dxa"/>
          </w:tcPr>
          <w:p w:rsidR="00615C01" w:rsidRPr="00D83C38" w:rsidRDefault="00615C01" w:rsidP="00615C01">
            <w:pPr>
              <w:pStyle w:val="CAR-TableText-Left"/>
            </w:pPr>
            <w:r w:rsidRPr="00D83C38">
              <w:t xml:space="preserve">Professor Ian Ramsay </w:t>
            </w:r>
          </w:p>
        </w:tc>
        <w:tc>
          <w:tcPr>
            <w:tcW w:w="3165" w:type="dxa"/>
          </w:tcPr>
          <w:p w:rsidR="00615C01" w:rsidRPr="00D83C38" w:rsidRDefault="00615C01" w:rsidP="00615C01">
            <w:pPr>
              <w:pStyle w:val="CAR-TableText-Left"/>
            </w:pPr>
            <w:r w:rsidRPr="00D83C38">
              <w:t>Business member</w:t>
            </w:r>
          </w:p>
        </w:tc>
        <w:tc>
          <w:tcPr>
            <w:tcW w:w="1964" w:type="dxa"/>
          </w:tcPr>
          <w:p w:rsidR="00615C01" w:rsidRPr="00D83C38" w:rsidRDefault="00615C01" w:rsidP="00615C01">
            <w:pPr>
              <w:pStyle w:val="CAR-TableText-Right"/>
            </w:pPr>
            <w:r w:rsidRPr="00D83C38">
              <w:t>30 November 2013</w:t>
            </w:r>
          </w:p>
        </w:tc>
      </w:tr>
    </w:tbl>
    <w:p w:rsidR="00615C01" w:rsidRPr="00D83C38" w:rsidRDefault="00615C01" w:rsidP="00615C01">
      <w:pPr>
        <w:pStyle w:val="SingleParagraph"/>
      </w:pPr>
    </w:p>
    <w:p w:rsidR="00615C01" w:rsidRPr="00D83C38" w:rsidRDefault="00615C01" w:rsidP="00136A06">
      <w:pPr>
        <w:pStyle w:val="CAR-Heading-3"/>
        <w:outlineLvl w:val="0"/>
      </w:pPr>
      <w:r w:rsidRPr="00D83C38">
        <w:t>Howard Insall SC</w:t>
      </w:r>
    </w:p>
    <w:p w:rsidR="00615C01" w:rsidRPr="00D83C38" w:rsidRDefault="00615C01" w:rsidP="0023751A">
      <w:pPr>
        <w:pStyle w:val="CAR-BodyText-Left"/>
        <w:rPr>
          <w:lang w:val="en-US"/>
        </w:rPr>
      </w:pPr>
      <w:r w:rsidRPr="00D83C38">
        <w:rPr>
          <w:lang w:val="en-US"/>
        </w:rPr>
        <w:t xml:space="preserve">Howard Insall is a barrister practising at the New South Wales bar. He was called to the bar in 1981 and was appointed senior counsel in 2001. He practises in the field of commercial/equity with particular emphasis on corporations and insolvency law. He has appeared in a number of major cases involving significant corporate collapses and the duties of directors and auditors, and is an author of the Winding Up chapter in the Butterworths Corporations Service. </w:t>
      </w:r>
    </w:p>
    <w:p w:rsidR="00615C01" w:rsidRPr="00F5202E" w:rsidRDefault="00615C01" w:rsidP="00136A06">
      <w:pPr>
        <w:pStyle w:val="CAR-Heading-3"/>
        <w:outlineLvl w:val="0"/>
      </w:pPr>
      <w:r>
        <w:t>Maria McCrossin</w:t>
      </w:r>
      <w:r>
        <w:rPr>
          <w:rStyle w:val="FootnoteReference"/>
        </w:rPr>
        <w:footnoteReference w:id="1"/>
      </w:r>
    </w:p>
    <w:p w:rsidR="00615C01" w:rsidRPr="00AF0F33" w:rsidRDefault="00615C01" w:rsidP="00613E04">
      <w:pPr>
        <w:pStyle w:val="CAR-BodyText-Left"/>
      </w:pPr>
      <w:r w:rsidRPr="00330F7D">
        <w:rPr>
          <w:shd w:val="clear" w:color="auto" w:fill="FFFFFF"/>
        </w:rPr>
        <w:t xml:space="preserve">Maria McCrossin is a lawyer with extensive financial services, capital markets and commercial litigation experience. She has held senior roles in private legal practice (Clayton Utz) and within the commercial sector (AMP, ASX, ANZ). Maria is a Fellow of the Australian Institute of Company Directors and a current member of the </w:t>
      </w:r>
      <w:proofErr w:type="spellStart"/>
      <w:r w:rsidRPr="00330F7D">
        <w:rPr>
          <w:shd w:val="clear" w:color="auto" w:fill="FFFFFF"/>
        </w:rPr>
        <w:t>ChiX</w:t>
      </w:r>
      <w:proofErr w:type="spellEnd"/>
      <w:r w:rsidRPr="00330F7D">
        <w:rPr>
          <w:shd w:val="clear" w:color="auto" w:fill="FFFFFF"/>
        </w:rPr>
        <w:t xml:space="preserve"> Australia Compliance Panel.</w:t>
      </w:r>
    </w:p>
    <w:p w:rsidR="00615C01" w:rsidRPr="00F5202E" w:rsidRDefault="00615C01" w:rsidP="00136A06">
      <w:pPr>
        <w:pStyle w:val="CAR-Heading-3"/>
        <w:outlineLvl w:val="0"/>
      </w:pPr>
      <w:r>
        <w:t>David Castle</w:t>
      </w:r>
      <w:r>
        <w:rPr>
          <w:rStyle w:val="FootnoteReference"/>
        </w:rPr>
        <w:footnoteReference w:id="2"/>
      </w:r>
    </w:p>
    <w:p w:rsidR="00615C01" w:rsidRDefault="00615C01" w:rsidP="00613E04">
      <w:pPr>
        <w:pStyle w:val="CAR-BodyText-Left"/>
      </w:pPr>
      <w:r w:rsidRPr="00AF0F33">
        <w:t xml:space="preserve">David Castle is a solicitor and was previously a partner of </w:t>
      </w:r>
      <w:proofErr w:type="spellStart"/>
      <w:r w:rsidRPr="00AF0F33">
        <w:t>Dibbs</w:t>
      </w:r>
      <w:proofErr w:type="spellEnd"/>
      <w:r w:rsidRPr="00AF0F33">
        <w:t xml:space="preserve"> Barker, specialising in business law. He was formerly chair of the Tax Agents </w:t>
      </w:r>
      <w:r w:rsidR="00511DDD">
        <w:t>B</w:t>
      </w:r>
      <w:r w:rsidRPr="00AF0F33">
        <w:t xml:space="preserve">oard of New South Wales. He is a member of the Law Society of New South Wales business law committee and business law specialisation committee. He has practised business, revenue, commercial and company law for over 40 years and has extensive experience in disciplinary and conduct areas of the Law Society of NSW, the Migration Agents Registration Authority, the ASX and the Tax Agents Board of New South Wales. He is a qualified and experienced mediator. </w:t>
      </w:r>
    </w:p>
    <w:p w:rsidR="00615C01" w:rsidRDefault="00615C01" w:rsidP="00136A06">
      <w:pPr>
        <w:pStyle w:val="CAR-Heading-3"/>
        <w:outlineLvl w:val="0"/>
      </w:pPr>
      <w:r>
        <w:t xml:space="preserve">Judith </w:t>
      </w:r>
      <w:proofErr w:type="spellStart"/>
      <w:r>
        <w:t>Downes</w:t>
      </w:r>
      <w:proofErr w:type="spellEnd"/>
    </w:p>
    <w:p w:rsidR="00615C01" w:rsidRDefault="00615C01" w:rsidP="00613E04">
      <w:pPr>
        <w:pStyle w:val="CAR-BodyText-Left"/>
      </w:pPr>
      <w:r w:rsidRPr="00AF0F33">
        <w:t xml:space="preserve">Judith </w:t>
      </w:r>
      <w:proofErr w:type="spellStart"/>
      <w:r w:rsidRPr="00AF0F33">
        <w:t>Downes</w:t>
      </w:r>
      <w:proofErr w:type="spellEnd"/>
      <w:r w:rsidRPr="00AF0F33">
        <w:t xml:space="preserve"> is a non-executive director with extensive experience in senior finance roles in listed Australian companies, including as chief financial officer. She is a past member of the IFRS Advisory Council and the AASB. Judith is a Fellow of the ICAA, CPA, and AICD, and has an honorary appointment as Fellow at the University of Melbourne.</w:t>
      </w:r>
    </w:p>
    <w:p w:rsidR="00615C01" w:rsidRPr="00D83C38" w:rsidRDefault="00615C01" w:rsidP="00136A06">
      <w:pPr>
        <w:pStyle w:val="CAR-Heading-3"/>
        <w:outlineLvl w:val="0"/>
      </w:pPr>
      <w:r w:rsidRPr="00D83C38">
        <w:t>Robert Ferguson</w:t>
      </w:r>
    </w:p>
    <w:p w:rsidR="00615C01" w:rsidRPr="00D83C38" w:rsidRDefault="00615C01" w:rsidP="00613E04">
      <w:pPr>
        <w:pStyle w:val="CAR-BodyText-Left"/>
        <w:rPr>
          <w:lang w:val="en-US"/>
        </w:rPr>
      </w:pPr>
      <w:r w:rsidRPr="00D83C38">
        <w:rPr>
          <w:lang w:val="en-US"/>
        </w:rPr>
        <w:t xml:space="preserve">Robert is a Chartered Accountant, Official Liquidator and Registered Trustee in Bankruptcy, specialising in insolvency practice.  Robert’s experience includes being an insolvency partner with both PricewaterhouseCoopers and Deloitte for 18 years after which he established his own specialist firm.  Robert has more than 30 years experience in insolvency practice, is a member of the Insolvency Practitioners Association of Australia </w:t>
      </w:r>
      <w:r>
        <w:rPr>
          <w:lang w:val="en-US"/>
        </w:rPr>
        <w:t xml:space="preserve">(IPAA) </w:t>
      </w:r>
      <w:r w:rsidRPr="00D83C38">
        <w:rPr>
          <w:lang w:val="en-US"/>
        </w:rPr>
        <w:t>and former State Chair and National Board member of that organisation.</w:t>
      </w:r>
    </w:p>
    <w:p w:rsidR="00615C01" w:rsidRPr="00D83C38" w:rsidRDefault="00615C01" w:rsidP="00136A06">
      <w:pPr>
        <w:pStyle w:val="CAR-Heading-3"/>
        <w:outlineLvl w:val="0"/>
      </w:pPr>
      <w:r w:rsidRPr="00D83C38">
        <w:t>George Georges</w:t>
      </w:r>
    </w:p>
    <w:p w:rsidR="00615C01" w:rsidRDefault="00615C01" w:rsidP="00613E04">
      <w:pPr>
        <w:pStyle w:val="CAR-BodyText-Left"/>
      </w:pPr>
      <w:r w:rsidRPr="00D83C38">
        <w:t xml:space="preserve">George Georges is a partner of Ferrier Hodgson in Melbourne. George has over 20 years experience specialising in corporate recovery assignments. He is a Chartered Accountant, a member of the Institute of Public Accountants (IPA) and the </w:t>
      </w:r>
      <w:r>
        <w:t>IPAA</w:t>
      </w:r>
      <w:r w:rsidRPr="00D83C38">
        <w:t xml:space="preserve"> as well as being a Fellow of </w:t>
      </w:r>
      <w:r>
        <w:t>the Financial Services Institute of Australia (</w:t>
      </w:r>
      <w:r w:rsidRPr="00D83C38">
        <w:t>FINSIA</w:t>
      </w:r>
      <w:r>
        <w:t>)</w:t>
      </w:r>
      <w:r w:rsidRPr="00D83C38">
        <w:t>.</w:t>
      </w:r>
    </w:p>
    <w:p w:rsidR="00615C01" w:rsidRPr="00D83C38" w:rsidRDefault="00615C01" w:rsidP="00136A06">
      <w:pPr>
        <w:pStyle w:val="CAR-Heading-3"/>
        <w:outlineLvl w:val="0"/>
      </w:pPr>
      <w:r w:rsidRPr="00D83C38">
        <w:t>Bruce Gleeson</w:t>
      </w:r>
    </w:p>
    <w:p w:rsidR="00615C01" w:rsidRPr="00D83C38" w:rsidRDefault="00615C01" w:rsidP="00613E04">
      <w:pPr>
        <w:pStyle w:val="CAR-BodyText-Left"/>
      </w:pPr>
      <w:r w:rsidRPr="00D83C38">
        <w:t>Bruce Gleeson is</w:t>
      </w:r>
      <w:r w:rsidRPr="00D83C38">
        <w:rPr>
          <w:lang w:val="en-US"/>
        </w:rPr>
        <w:t xml:space="preserve"> a principal at Jones Partners Chartered Accountants, a specialist insolvency and business recovery firm. He is a Chartered Accountant, a member of CPA Australia and </w:t>
      </w:r>
      <w:r>
        <w:rPr>
          <w:lang w:val="en-US"/>
        </w:rPr>
        <w:t>the IPAA</w:t>
      </w:r>
      <w:r w:rsidRPr="00D83C38">
        <w:rPr>
          <w:lang w:val="en-US"/>
        </w:rPr>
        <w:t xml:space="preserve">. Bruce has in excess of 15 years corporate and personal insolvency experience and is an Official Liquidator and a Registered Trustee in Bankruptcy. He </w:t>
      </w:r>
      <w:r>
        <w:rPr>
          <w:lang w:val="en-US"/>
        </w:rPr>
        <w:t>has recently been</w:t>
      </w:r>
      <w:r w:rsidRPr="00D83C38">
        <w:rPr>
          <w:lang w:val="en-US"/>
        </w:rPr>
        <w:t xml:space="preserve"> on the NSW State Council of the Institute of Chartered Accountants </w:t>
      </w:r>
      <w:r>
        <w:rPr>
          <w:lang w:val="en-US"/>
        </w:rPr>
        <w:t xml:space="preserve">(ICAA), </w:t>
      </w:r>
      <w:r w:rsidRPr="00D83C38">
        <w:rPr>
          <w:lang w:val="en-US"/>
        </w:rPr>
        <w:t xml:space="preserve">being the Chair in 2010, as well as being the 2010 Junior Vice President of the Western Sydney Business Connection. Bruce has also held roles in commerce (with James </w:t>
      </w:r>
      <w:proofErr w:type="spellStart"/>
      <w:r w:rsidRPr="00D83C38">
        <w:rPr>
          <w:lang w:val="en-US"/>
        </w:rPr>
        <w:t>Hardie</w:t>
      </w:r>
      <w:proofErr w:type="spellEnd"/>
      <w:r w:rsidRPr="00D83C38">
        <w:rPr>
          <w:lang w:val="en-US"/>
        </w:rPr>
        <w:t xml:space="preserve"> and AMP) to broaden his experience.</w:t>
      </w:r>
    </w:p>
    <w:p w:rsidR="00615C01" w:rsidRPr="00F5202E" w:rsidRDefault="00615C01" w:rsidP="00136A06">
      <w:pPr>
        <w:pStyle w:val="CAR-Heading-3"/>
        <w:outlineLvl w:val="0"/>
      </w:pPr>
      <w:r>
        <w:t>David Sauer</w:t>
      </w:r>
    </w:p>
    <w:p w:rsidR="00615C01" w:rsidRDefault="00615C01" w:rsidP="00613E04">
      <w:pPr>
        <w:pStyle w:val="CAR-BodyText-Left"/>
      </w:pPr>
      <w:r w:rsidRPr="00AF0F33">
        <w:t xml:space="preserve">David Sauer is a Chartered Accountant and Registered Company Auditor, specialising in professional standards – financial reporting, assurance and ethics. He provides professional education for accountants and independent advice on the application of standards in transactions, commercial disputes and regulatory compliance. He has worked in public practice since 1983 and now assists mid-tier and smaller accounting firms to develop and monitor their quality assurance and audit policies and procedures. David was a member of the Institute of Public Accountants’ Legislation and Standards Committee from 2000 to 2009. </w:t>
      </w:r>
    </w:p>
    <w:p w:rsidR="00615C01" w:rsidRPr="00D83C38" w:rsidRDefault="00615C01" w:rsidP="00136A06">
      <w:pPr>
        <w:pStyle w:val="CAR-Heading-3"/>
        <w:outlineLvl w:val="0"/>
      </w:pPr>
      <w:r w:rsidRPr="00D83C38">
        <w:t>Eric Passaris</w:t>
      </w:r>
    </w:p>
    <w:p w:rsidR="00615C01" w:rsidRPr="00D83C38" w:rsidRDefault="00615C01" w:rsidP="00613E04">
      <w:pPr>
        <w:pStyle w:val="CAR-BodyText-Left"/>
      </w:pPr>
      <w:r w:rsidRPr="00D83C38">
        <w:t xml:space="preserve">Eric Passaris is a </w:t>
      </w:r>
      <w:r w:rsidRPr="00D83C38">
        <w:rPr>
          <w:lang w:val="en-US"/>
        </w:rPr>
        <w:t xml:space="preserve">partner with </w:t>
      </w:r>
      <w:r>
        <w:rPr>
          <w:lang w:val="en-US"/>
        </w:rPr>
        <w:t>Grant Thornton</w:t>
      </w:r>
      <w:r w:rsidRPr="00D83C38">
        <w:rPr>
          <w:lang w:val="en-US"/>
        </w:rPr>
        <w:t xml:space="preserve"> in Melbourne and has specialised in audit and assurance services for </w:t>
      </w:r>
      <w:r>
        <w:rPr>
          <w:lang w:val="en-US"/>
        </w:rPr>
        <w:t xml:space="preserve">over </w:t>
      </w:r>
      <w:r w:rsidRPr="00D83C38">
        <w:rPr>
          <w:lang w:val="en-US"/>
        </w:rPr>
        <w:t xml:space="preserve">25 years. Eric is a registered company auditor and a member of ICAA and CPA Australia.  He </w:t>
      </w:r>
      <w:r w:rsidR="004A1E49">
        <w:rPr>
          <w:lang w:val="en-US"/>
        </w:rPr>
        <w:t>i</w:t>
      </w:r>
      <w:r w:rsidRPr="00D83C38">
        <w:rPr>
          <w:lang w:val="en-US"/>
        </w:rPr>
        <w:t>s a member of CPA Australia’s Disciplinary Committee and is called upon to provide expert evidence in auditor/accountant professional negligence cases for legal proceedings, commercial disputes, insurance claims and disciplinary proceedings.</w:t>
      </w:r>
    </w:p>
    <w:p w:rsidR="00615C01" w:rsidRPr="00D83C38" w:rsidRDefault="00615C01" w:rsidP="00136A06">
      <w:pPr>
        <w:pStyle w:val="CAR-Heading-3"/>
        <w:outlineLvl w:val="0"/>
        <w:rPr>
          <w:color w:val="000000"/>
        </w:rPr>
      </w:pPr>
      <w:r w:rsidRPr="00D83C38">
        <w:t>David Barnett</w:t>
      </w:r>
    </w:p>
    <w:p w:rsidR="00615C01" w:rsidRPr="00D83C38" w:rsidRDefault="00615C01" w:rsidP="00613E04">
      <w:pPr>
        <w:pStyle w:val="CAR-BodyText-Left"/>
      </w:pPr>
      <w:r w:rsidRPr="00D83C38">
        <w:t xml:space="preserve">David Barnett is the General Manager, Listings, </w:t>
      </w:r>
      <w:r>
        <w:t>Australian Stock Exchange (</w:t>
      </w:r>
      <w:r w:rsidRPr="00D83C38">
        <w:t>ASX</w:t>
      </w:r>
      <w:r>
        <w:t>)</w:t>
      </w:r>
      <w:r w:rsidRPr="00D83C38">
        <w:t xml:space="preserve"> Compliance with ASX Limited. The Listing's unit plays a key role in monitoring and enforcing compliance with ASX Listing Rules and with ASX Operating Rules.  He has been with ASX for 1</w:t>
      </w:r>
      <w:r w:rsidR="00836D4D">
        <w:t>8</w:t>
      </w:r>
      <w:r w:rsidRPr="00D83C38">
        <w:t xml:space="preserve"> years, and has been a senior liaison point for ASX on many of Australia's most significant transactions for listed entities and </w:t>
      </w:r>
      <w:r>
        <w:t>Initial Public Offerings.</w:t>
      </w:r>
      <w:r w:rsidRPr="00D83C38">
        <w:t xml:space="preserve">  He has a Bachelor of Commerce (Accounting) and is a member of CPA Australia. </w:t>
      </w:r>
    </w:p>
    <w:p w:rsidR="00615C01" w:rsidRPr="00D83C38" w:rsidRDefault="00615C01" w:rsidP="00136A06">
      <w:pPr>
        <w:pStyle w:val="CAR-Heading-3"/>
        <w:outlineLvl w:val="0"/>
        <w:rPr>
          <w:color w:val="000000"/>
        </w:rPr>
      </w:pPr>
      <w:r w:rsidRPr="00D83C38">
        <w:t>Tom Bostock</w:t>
      </w:r>
    </w:p>
    <w:p w:rsidR="00615C01" w:rsidRPr="00D83C38" w:rsidRDefault="00615C01" w:rsidP="00613E04">
      <w:pPr>
        <w:pStyle w:val="CAR-BodyText-Left"/>
      </w:pPr>
      <w:r w:rsidRPr="00D83C38">
        <w:rPr>
          <w:lang w:val="en-US"/>
        </w:rPr>
        <w:t xml:space="preserve">Tom Bostock was a partner of Mallesons Stephen Jaques from 1970 until 2004, and from 2005 until 2010 a special counsel to Gadens Lawyers, specialising in corporate law. He is a Fellow of the Australian Institute of Company </w:t>
      </w:r>
      <w:r w:rsidRPr="00613E04">
        <w:t>Directors</w:t>
      </w:r>
      <w:r>
        <w:rPr>
          <w:lang w:val="en-US"/>
        </w:rPr>
        <w:t xml:space="preserve"> (AICD)</w:t>
      </w:r>
      <w:r w:rsidRPr="00D83C38">
        <w:rPr>
          <w:lang w:val="en-US"/>
        </w:rPr>
        <w:t xml:space="preserve"> and is a member of that Institute’s Law Committee. He was also </w:t>
      </w:r>
      <w:r>
        <w:rPr>
          <w:lang w:val="en-US"/>
        </w:rPr>
        <w:t>C</w:t>
      </w:r>
      <w:r w:rsidRPr="00D83C38">
        <w:rPr>
          <w:lang w:val="en-US"/>
        </w:rPr>
        <w:t>hairperson, and remains a member, of the Corporate Law Committee of the Law Institute of Victoria and was a member of the Legal Committee of the Companies and Securities Advisory Committee.</w:t>
      </w:r>
    </w:p>
    <w:p w:rsidR="00615C01" w:rsidRPr="00D83C38" w:rsidRDefault="00615C01" w:rsidP="00136A06">
      <w:pPr>
        <w:pStyle w:val="CAR-Heading-3"/>
        <w:outlineLvl w:val="0"/>
        <w:rPr>
          <w:color w:val="000000"/>
        </w:rPr>
      </w:pPr>
      <w:r w:rsidRPr="00D83C38">
        <w:t>Geoff Brayshaw</w:t>
      </w:r>
    </w:p>
    <w:p w:rsidR="00615C01" w:rsidRPr="00D83C38" w:rsidRDefault="00615C01" w:rsidP="00613E04">
      <w:pPr>
        <w:pStyle w:val="CAR-BodyText-Left"/>
      </w:pPr>
      <w:r w:rsidRPr="00D83C38">
        <w:t>Geoff Brayshaw is a Chartered Accountant and company director. He has spent 35 years in the accounting profession and was a former audit partner and managing partner of the Perth practice of BDO, retiring from public practice in 2005. He now has a number of directorship roles including non</w:t>
      </w:r>
      <w:r w:rsidRPr="00D83C38">
        <w:noBreakHyphen/>
        <w:t xml:space="preserve">executive director and Chairperson of the audit committee of each of Fortescue Metals Group Limited, Poseidon Nickel Limited and Avea Insurance Limited, and a former board member of the Small Business Development Corporation in Western Australia. He was formerly Chairperson of Gumala Investments Pty Ltd, an </w:t>
      </w:r>
      <w:r w:rsidRPr="00613E04">
        <w:t>Aboriginal</w:t>
      </w:r>
      <w:r w:rsidRPr="00D83C38">
        <w:t xml:space="preserve"> corporation trustee company. He was National President of the </w:t>
      </w:r>
      <w:r>
        <w:t>ICAA</w:t>
      </w:r>
      <w:r w:rsidRPr="00D83C38">
        <w:t xml:space="preserve"> in Australia for 2002 and was made a Member of the Order of Australia in 2007.</w:t>
      </w:r>
    </w:p>
    <w:p w:rsidR="00615C01" w:rsidRPr="00D83C38" w:rsidRDefault="00615C01" w:rsidP="00136A06">
      <w:pPr>
        <w:pStyle w:val="CAR-Heading-3"/>
        <w:outlineLvl w:val="0"/>
      </w:pPr>
      <w:r w:rsidRPr="00D83C38">
        <w:t>John Keeves</w:t>
      </w:r>
    </w:p>
    <w:p w:rsidR="00615C01" w:rsidRPr="00D83C38" w:rsidRDefault="00615C01" w:rsidP="00613E04">
      <w:pPr>
        <w:pStyle w:val="CAR-BodyText-Left"/>
      </w:pPr>
      <w:r w:rsidRPr="000726AB">
        <w:t>John Keeves is a partner and Head of Transactional and Advisory Practice Group at law firm John</w:t>
      </w:r>
      <w:r>
        <w:t>son Winter &amp; Slattery, specialis</w:t>
      </w:r>
      <w:r w:rsidRPr="000726AB">
        <w:t xml:space="preserve">ing in mergers and acquisitions, corporate and securities law and corporate governance. He is a member of </w:t>
      </w:r>
      <w:r w:rsidRPr="00613E04">
        <w:t>the</w:t>
      </w:r>
      <w:r w:rsidRPr="000726AB">
        <w:t xml:space="preserve"> Takeovers Panel, a </w:t>
      </w:r>
      <w:r>
        <w:t>former</w:t>
      </w:r>
      <w:r w:rsidRPr="000726AB">
        <w:t xml:space="preserve"> chairperson of the Corporations Committee of the Law Council of Australia and a member of the Executive of the Business Law Section of the Law Council, a Senior Fellow and former Director and Life Member of</w:t>
      </w:r>
      <w:r>
        <w:t xml:space="preserve"> FINSIA</w:t>
      </w:r>
      <w:r w:rsidRPr="000726AB">
        <w:t xml:space="preserve">, as well as a member of the </w:t>
      </w:r>
      <w:r>
        <w:t>AICD</w:t>
      </w:r>
      <w:r w:rsidRPr="000726AB">
        <w:t>, Banking and Financial Services Law Association, AVCAL and AMPLA.</w:t>
      </w:r>
    </w:p>
    <w:p w:rsidR="00615C01" w:rsidRPr="00F5202E" w:rsidRDefault="00615C01" w:rsidP="00136A06">
      <w:pPr>
        <w:pStyle w:val="CAR-Heading-3"/>
        <w:outlineLvl w:val="0"/>
      </w:pPr>
      <w:r>
        <w:t>Karen O'Flynn</w:t>
      </w:r>
    </w:p>
    <w:p w:rsidR="00615C01" w:rsidRDefault="00615C01" w:rsidP="00613E04">
      <w:pPr>
        <w:pStyle w:val="CAR-BodyText-Left"/>
      </w:pPr>
      <w:r w:rsidRPr="00AF0F33">
        <w:t xml:space="preserve">Karen O'Flynn is a Partner of Clayton Utz and the national leader of that firm's restructuring and insolvency practice group. Karen is a member of the Clayton Utz board and a Vice-Chair of the Insolvency Section of the International Bar Association. </w:t>
      </w:r>
    </w:p>
    <w:p w:rsidR="00615C01" w:rsidRPr="00D83C38" w:rsidRDefault="00615C01" w:rsidP="00136A06">
      <w:pPr>
        <w:pStyle w:val="CAR-Heading-3"/>
        <w:outlineLvl w:val="0"/>
      </w:pPr>
      <w:r w:rsidRPr="00D83C38">
        <w:t>Ian Ramsay</w:t>
      </w:r>
    </w:p>
    <w:p w:rsidR="00615C01" w:rsidRDefault="00615C01" w:rsidP="00613E04">
      <w:pPr>
        <w:pStyle w:val="CAR-BodyText-Left"/>
        <w:rPr>
          <w:lang w:val="en-US"/>
        </w:rPr>
      </w:pPr>
      <w:r w:rsidRPr="00247E4B">
        <w:t xml:space="preserve">Ian Ramsay is the Harold Ford Professor of Commercial Law in the Faculty of Law at the University of Melbourne where he is Director of the Centre for Corporate Law and Securities Regulation. He is a </w:t>
      </w:r>
      <w:r w:rsidRPr="00613E04">
        <w:t>member</w:t>
      </w:r>
      <w:r w:rsidRPr="00247E4B">
        <w:t xml:space="preserve"> of the Corporations Committee of the Law Council of Australia and the Corporations and Markets Advisory Committee. He was </w:t>
      </w:r>
      <w:r>
        <w:t>H</w:t>
      </w:r>
      <w:r w:rsidRPr="00247E4B">
        <w:t xml:space="preserve">ead of the Federal Government inquiry on auditor independence, a member of the International Federation of Accountants taskforce on rebuilding confidence in financial reporting, a member of the Audit Quality Review Board, a member of the Takeovers Panel and a member of the National Law Committee of the Australian Institute of Company Directors. He has practised law with firms in New York and Sydney. </w:t>
      </w:r>
      <w:r w:rsidRPr="00D83C38">
        <w:rPr>
          <w:lang w:val="en-US"/>
        </w:rPr>
        <w:t xml:space="preserve"> </w:t>
      </w:r>
    </w:p>
    <w:p w:rsidR="009E1950" w:rsidRPr="00D83C38" w:rsidRDefault="009E1950" w:rsidP="009E1950">
      <w:pPr>
        <w:pStyle w:val="CAR-Heading-1"/>
        <w:outlineLvl w:val="0"/>
      </w:pPr>
      <w:r w:rsidRPr="00D83C38">
        <w:t>A</w:t>
      </w:r>
      <w:r>
        <w:t>pplications received by CALDB in the reporting year</w:t>
      </w:r>
    </w:p>
    <w:p w:rsidR="009E1950" w:rsidRDefault="009E1950" w:rsidP="009E1950">
      <w:pPr>
        <w:pStyle w:val="CAR-BodyText-Left"/>
      </w:pPr>
      <w:r>
        <w:t>Five new applications were received during the reporting year. As noted</w:t>
      </w:r>
      <w:r w:rsidR="00330F7D">
        <w:t>, this is in contrast to recent experience</w:t>
      </w:r>
      <w:r w:rsidR="00040CC6">
        <w:t>, where few applications of significance have been brought before the Board. The number of applications brought before the Board by ASIC dropped off significantly in 2008</w:t>
      </w:r>
      <w:r>
        <w:t xml:space="preserve">. </w:t>
      </w:r>
      <w:r w:rsidR="00A557FB">
        <w:t>The Board is unaware of the reasons underlying this pattern of activity.</w:t>
      </w:r>
    </w:p>
    <w:p w:rsidR="009E1950" w:rsidRDefault="009E1950" w:rsidP="009E1950">
      <w:pPr>
        <w:pStyle w:val="CAR-BodyText-Left"/>
      </w:pPr>
      <w:r>
        <w:t>CALDB has implemented its revised procedures in relation to the new matters and has attempted to set matters down for the earliest appropriate hearing dates. CALDB has sought to minimise the reliance on expert evidence and as noted, is in a unique position to adopt this course as it possesses specialist expertise permitting it to assess applications by reference to its own knowledge of professional standards.</w:t>
      </w:r>
    </w:p>
    <w:p w:rsidR="00632678" w:rsidRDefault="00632678" w:rsidP="009E1950">
      <w:pPr>
        <w:pStyle w:val="CAR-BodyText-Left"/>
        <w:outlineLvl w:val="0"/>
      </w:pPr>
      <w:r>
        <w:t>As the new matters only came to CALDB</w:t>
      </w:r>
      <w:r w:rsidR="00EA5B2E">
        <w:t xml:space="preserve"> part way through</w:t>
      </w:r>
      <w:r>
        <w:t xml:space="preserve"> the reporting year, the outcomes are </w:t>
      </w:r>
      <w:r w:rsidR="00DA41E0">
        <w:t xml:space="preserve">largely </w:t>
      </w:r>
      <w:r>
        <w:t>not reflected in this year’s report.</w:t>
      </w:r>
    </w:p>
    <w:p w:rsidR="009E1950" w:rsidRDefault="009E1950" w:rsidP="009E1950">
      <w:pPr>
        <w:pStyle w:val="CAR-BodyText-Left"/>
        <w:outlineLvl w:val="0"/>
      </w:pPr>
      <w:r w:rsidRPr="00D83C38">
        <w:t xml:space="preserve">The tables </w:t>
      </w:r>
      <w:r>
        <w:t>below provide a summary of the status of the matters</w:t>
      </w:r>
      <w:r w:rsidR="00EA5B2E">
        <w:t xml:space="preserve"> before CALDB during the reporting year</w:t>
      </w:r>
      <w:r>
        <w:t>:</w:t>
      </w:r>
      <w:r w:rsidRPr="00D83C38" w:rsidDel="00DE6E85">
        <w:t xml:space="preserve"> </w:t>
      </w:r>
    </w:p>
    <w:p w:rsidR="009E1950" w:rsidRDefault="009E1950" w:rsidP="009E1950">
      <w:pPr>
        <w:pStyle w:val="CAR-TableMainHead"/>
      </w:pPr>
    </w:p>
    <w:p w:rsidR="009E1950" w:rsidRPr="00D83C38" w:rsidRDefault="009E1950" w:rsidP="009E1950">
      <w:pPr>
        <w:pStyle w:val="CAR-TableMainHead"/>
        <w:outlineLvl w:val="0"/>
      </w:pPr>
      <w:r w:rsidRPr="00D83C38">
        <w:t xml:space="preserve">Matters before </w:t>
      </w:r>
      <w:r w:rsidR="0039258B">
        <w:t>CALDB</w:t>
      </w:r>
      <w:r w:rsidRPr="00D83C38">
        <w:t xml:space="preserve"> during the report</w:t>
      </w:r>
      <w:r>
        <w:t>ing</w:t>
      </w:r>
      <w:r w:rsidRPr="00D83C38">
        <w:t xml:space="preserve"> year </w:t>
      </w:r>
    </w:p>
    <w:p w:rsidR="009E1950" w:rsidRDefault="009E1950" w:rsidP="009E1950">
      <w:pPr>
        <w:pStyle w:val="CAR-TableMainHead"/>
      </w:pPr>
    </w:p>
    <w:p w:rsidR="009E1950" w:rsidRPr="00D83C38" w:rsidRDefault="009E1950" w:rsidP="009E1950">
      <w:pPr>
        <w:pStyle w:val="CAR-TableMainHead"/>
        <w:outlineLvl w:val="0"/>
      </w:pPr>
      <w:r w:rsidRPr="00D83C38">
        <w:t>Auditors</w:t>
      </w:r>
    </w:p>
    <w:tbl>
      <w:tblPr>
        <w:tblW w:w="7711" w:type="dxa"/>
        <w:tblInd w:w="108" w:type="dxa"/>
        <w:tblBorders>
          <w:top w:val="single" w:sz="2" w:space="0" w:color="000080"/>
          <w:bottom w:val="single" w:sz="2" w:space="0" w:color="000080"/>
        </w:tblBorders>
        <w:tblLook w:val="01E0"/>
      </w:tblPr>
      <w:tblGrid>
        <w:gridCol w:w="4080"/>
        <w:gridCol w:w="1680"/>
        <w:gridCol w:w="1951"/>
      </w:tblGrid>
      <w:tr w:rsidR="009E1950" w:rsidRPr="00D83C38">
        <w:trPr>
          <w:cantSplit/>
        </w:trPr>
        <w:tc>
          <w:tcPr>
            <w:tcW w:w="4080" w:type="dxa"/>
            <w:tcBorders>
              <w:top w:val="single" w:sz="2" w:space="0" w:color="000080"/>
              <w:bottom w:val="single" w:sz="2" w:space="0" w:color="000080"/>
            </w:tcBorders>
            <w:shd w:val="clear" w:color="auto" w:fill="D5D5FF"/>
          </w:tcPr>
          <w:p w:rsidR="009E1950" w:rsidRPr="00D83C38" w:rsidRDefault="009E1950" w:rsidP="001129F5">
            <w:pPr>
              <w:pStyle w:val="CAR-TableColHead-Right"/>
            </w:pPr>
          </w:p>
        </w:tc>
        <w:tc>
          <w:tcPr>
            <w:tcW w:w="1680" w:type="dxa"/>
            <w:tcBorders>
              <w:top w:val="single" w:sz="2" w:space="0" w:color="000080"/>
              <w:bottom w:val="single" w:sz="2" w:space="0" w:color="000080"/>
            </w:tcBorders>
            <w:shd w:val="clear" w:color="auto" w:fill="D5D5FF"/>
          </w:tcPr>
          <w:p w:rsidR="009E1950" w:rsidRPr="00D83C38" w:rsidRDefault="009E1950" w:rsidP="001129F5">
            <w:pPr>
              <w:pStyle w:val="CAR-TableColHead-Right"/>
            </w:pPr>
            <w:r w:rsidRPr="00D83C38">
              <w:t>Conduct</w:t>
            </w:r>
          </w:p>
        </w:tc>
        <w:tc>
          <w:tcPr>
            <w:tcW w:w="1951" w:type="dxa"/>
            <w:tcBorders>
              <w:top w:val="single" w:sz="2" w:space="0" w:color="000080"/>
              <w:bottom w:val="single" w:sz="2" w:space="0" w:color="000080"/>
            </w:tcBorders>
            <w:shd w:val="clear" w:color="auto" w:fill="D5D5FF"/>
          </w:tcPr>
          <w:p w:rsidR="009E1950" w:rsidRPr="00D83C38" w:rsidRDefault="009E1950" w:rsidP="001129F5">
            <w:pPr>
              <w:pStyle w:val="CAR-TableColHead-Right"/>
            </w:pPr>
            <w:r w:rsidRPr="00D83C38">
              <w:t>Administrative</w:t>
            </w:r>
          </w:p>
        </w:tc>
      </w:tr>
      <w:tr w:rsidR="009E1950" w:rsidRPr="00D83C38">
        <w:trPr>
          <w:cantSplit/>
        </w:trPr>
        <w:tc>
          <w:tcPr>
            <w:tcW w:w="4080" w:type="dxa"/>
            <w:tcBorders>
              <w:top w:val="single" w:sz="2" w:space="0" w:color="000080"/>
            </w:tcBorders>
          </w:tcPr>
          <w:p w:rsidR="009E1950" w:rsidRDefault="009E1950" w:rsidP="001129F5">
            <w:pPr>
              <w:pStyle w:val="CAR-TableText-Left"/>
            </w:pPr>
            <w:r w:rsidRPr="00D83C38">
              <w:t>Uncompleted matters at 1/7/1</w:t>
            </w:r>
            <w:r>
              <w:t>2</w:t>
            </w:r>
          </w:p>
          <w:p w:rsidR="009E1950" w:rsidRPr="00D83C38" w:rsidRDefault="009E1950" w:rsidP="001129F5">
            <w:pPr>
              <w:pStyle w:val="CAR-TableText-Left"/>
            </w:pPr>
            <w:r>
              <w:t>New Applications</w:t>
            </w:r>
          </w:p>
        </w:tc>
        <w:tc>
          <w:tcPr>
            <w:tcW w:w="1680" w:type="dxa"/>
            <w:tcBorders>
              <w:top w:val="single" w:sz="2" w:space="0" w:color="000080"/>
            </w:tcBorders>
          </w:tcPr>
          <w:p w:rsidR="009E1950" w:rsidRDefault="009E1950" w:rsidP="001129F5">
            <w:pPr>
              <w:pStyle w:val="CAR-TableText-Right"/>
            </w:pPr>
            <w:r>
              <w:t>-</w:t>
            </w:r>
          </w:p>
          <w:p w:rsidR="009E1950" w:rsidRPr="00D83C38" w:rsidRDefault="009E1950" w:rsidP="001129F5">
            <w:pPr>
              <w:pStyle w:val="CAR-TableText-Right"/>
            </w:pPr>
            <w:r>
              <w:t>-</w:t>
            </w:r>
          </w:p>
        </w:tc>
        <w:tc>
          <w:tcPr>
            <w:tcW w:w="1951" w:type="dxa"/>
            <w:tcBorders>
              <w:top w:val="single" w:sz="2" w:space="0" w:color="000080"/>
            </w:tcBorders>
          </w:tcPr>
          <w:p w:rsidR="009E1950" w:rsidRDefault="009E1950" w:rsidP="001129F5">
            <w:pPr>
              <w:pStyle w:val="CAR-TableText-Right"/>
            </w:pPr>
            <w:r w:rsidRPr="00D83C38">
              <w:t>-</w:t>
            </w:r>
          </w:p>
          <w:p w:rsidR="009E1950" w:rsidRPr="00D83C38" w:rsidRDefault="009E1950" w:rsidP="001129F5">
            <w:pPr>
              <w:pStyle w:val="CAR-TableText-Right"/>
            </w:pPr>
            <w:r>
              <w:t>1</w:t>
            </w:r>
          </w:p>
        </w:tc>
      </w:tr>
      <w:tr w:rsidR="009E1950" w:rsidRPr="00D83C38">
        <w:trPr>
          <w:cantSplit/>
        </w:trPr>
        <w:tc>
          <w:tcPr>
            <w:tcW w:w="4080" w:type="dxa"/>
          </w:tcPr>
          <w:p w:rsidR="009E1950" w:rsidRDefault="009E1950" w:rsidP="001129F5">
            <w:pPr>
              <w:pStyle w:val="CAR-TableText-Left"/>
            </w:pPr>
            <w:r>
              <w:t>Matters withdrawn</w:t>
            </w:r>
          </w:p>
          <w:p w:rsidR="009E1950" w:rsidRPr="00D83C38" w:rsidRDefault="009E1950" w:rsidP="001129F5">
            <w:pPr>
              <w:pStyle w:val="CAR-TableText-Left"/>
            </w:pPr>
            <w:r>
              <w:t>Matters Dealt with – Orders issued</w:t>
            </w:r>
          </w:p>
        </w:tc>
        <w:tc>
          <w:tcPr>
            <w:tcW w:w="1680" w:type="dxa"/>
          </w:tcPr>
          <w:p w:rsidR="009E1950" w:rsidRDefault="009E1950" w:rsidP="001129F5">
            <w:pPr>
              <w:pStyle w:val="CAR-TableText-Right"/>
            </w:pPr>
            <w:r>
              <w:t>-</w:t>
            </w:r>
          </w:p>
          <w:p w:rsidR="009E1950" w:rsidRPr="00D83C38" w:rsidDel="00317C0C" w:rsidRDefault="009E1950" w:rsidP="001129F5">
            <w:pPr>
              <w:pStyle w:val="CAR-TableText-Right"/>
            </w:pPr>
            <w:r>
              <w:t>-</w:t>
            </w:r>
          </w:p>
        </w:tc>
        <w:tc>
          <w:tcPr>
            <w:tcW w:w="1951" w:type="dxa"/>
          </w:tcPr>
          <w:p w:rsidR="009E1950" w:rsidRDefault="009E1950" w:rsidP="001129F5">
            <w:pPr>
              <w:pStyle w:val="CAR-TableText-Right"/>
            </w:pPr>
            <w:r>
              <w:t>-</w:t>
            </w:r>
          </w:p>
          <w:p w:rsidR="009E1950" w:rsidRPr="00D83C38" w:rsidRDefault="009E1950" w:rsidP="001129F5">
            <w:pPr>
              <w:pStyle w:val="CAR-TableText-Right"/>
            </w:pPr>
            <w:r>
              <w:t>1</w:t>
            </w:r>
          </w:p>
        </w:tc>
      </w:tr>
      <w:tr w:rsidR="009E1950" w:rsidRPr="00D83C38">
        <w:trPr>
          <w:cantSplit/>
        </w:trPr>
        <w:tc>
          <w:tcPr>
            <w:tcW w:w="4080" w:type="dxa"/>
          </w:tcPr>
          <w:p w:rsidR="009E1950" w:rsidRPr="00D83C38" w:rsidRDefault="009E1950" w:rsidP="001129F5">
            <w:pPr>
              <w:pStyle w:val="CAR-TableText-Left"/>
            </w:pPr>
            <w:r w:rsidRPr="00D83C38">
              <w:t>Uncompleted matters at 30/6/1</w:t>
            </w:r>
            <w:r>
              <w:t>3</w:t>
            </w:r>
          </w:p>
        </w:tc>
        <w:tc>
          <w:tcPr>
            <w:tcW w:w="1680" w:type="dxa"/>
          </w:tcPr>
          <w:p w:rsidR="009E1950" w:rsidRPr="00D83C38" w:rsidRDefault="009E1950" w:rsidP="001129F5">
            <w:pPr>
              <w:pStyle w:val="CAR-TableText-Right"/>
            </w:pPr>
            <w:r>
              <w:t>-</w:t>
            </w:r>
          </w:p>
        </w:tc>
        <w:tc>
          <w:tcPr>
            <w:tcW w:w="1951" w:type="dxa"/>
          </w:tcPr>
          <w:p w:rsidR="009E1950" w:rsidRPr="00D83C38" w:rsidRDefault="009E1950" w:rsidP="001129F5">
            <w:pPr>
              <w:pStyle w:val="CAR-TableText-Right"/>
            </w:pPr>
            <w:r w:rsidRPr="00D83C38">
              <w:t>-</w:t>
            </w:r>
          </w:p>
        </w:tc>
      </w:tr>
    </w:tbl>
    <w:p w:rsidR="009E1950" w:rsidRPr="0020462D" w:rsidRDefault="007A6BC8" w:rsidP="00613E04">
      <w:pPr>
        <w:pStyle w:val="SingleParagraph"/>
        <w:rPr>
          <w:vertAlign w:val="superscript"/>
        </w:rPr>
      </w:pPr>
      <w:r>
        <w:rPr>
          <w:vertAlign w:val="superscript"/>
        </w:rPr>
        <w:t>The new administrative application was heard and determined in April 2013.</w:t>
      </w:r>
      <w:bookmarkStart w:id="0" w:name="_GoBack"/>
      <w:bookmarkEnd w:id="0"/>
      <w:r>
        <w:rPr>
          <w:vertAlign w:val="superscript"/>
        </w:rPr>
        <w:t xml:space="preserve"> </w:t>
      </w:r>
      <w:r w:rsidR="009E1950">
        <w:rPr>
          <w:vertAlign w:val="superscript"/>
        </w:rPr>
        <w:t>One</w:t>
      </w:r>
      <w:r w:rsidR="009E1950" w:rsidRPr="0020462D">
        <w:rPr>
          <w:vertAlign w:val="superscript"/>
        </w:rPr>
        <w:t xml:space="preserve"> </w:t>
      </w:r>
      <w:r>
        <w:rPr>
          <w:vertAlign w:val="superscript"/>
        </w:rPr>
        <w:t xml:space="preserve">further conduct </w:t>
      </w:r>
      <w:r w:rsidR="009E1950" w:rsidRPr="0020462D">
        <w:rPr>
          <w:vertAlign w:val="superscript"/>
        </w:rPr>
        <w:t xml:space="preserve">application in relation to an auditor was received shortly after 30 June 2013.  </w:t>
      </w:r>
    </w:p>
    <w:p w:rsidR="009E1950" w:rsidRPr="00317C0C" w:rsidRDefault="009E1950" w:rsidP="009E1950">
      <w:pPr>
        <w:pStyle w:val="CAR-Heading-2"/>
        <w:outlineLvl w:val="0"/>
        <w:rPr>
          <w:rFonts w:ascii="Arial" w:hAnsi="Arial" w:cs="Arial"/>
          <w:sz w:val="22"/>
          <w:szCs w:val="22"/>
        </w:rPr>
      </w:pPr>
      <w:r w:rsidRPr="00624284">
        <w:rPr>
          <w:rFonts w:ascii="Arial" w:hAnsi="Arial" w:cs="Arial"/>
          <w:sz w:val="22"/>
          <w:szCs w:val="22"/>
        </w:rPr>
        <w:t>Liquidat</w:t>
      </w:r>
      <w:r w:rsidRPr="00317C0C">
        <w:rPr>
          <w:rFonts w:ascii="Arial" w:hAnsi="Arial" w:cs="Arial"/>
          <w:sz w:val="22"/>
          <w:szCs w:val="22"/>
        </w:rPr>
        <w:t>ors</w:t>
      </w:r>
    </w:p>
    <w:tbl>
      <w:tblPr>
        <w:tblW w:w="7711" w:type="dxa"/>
        <w:tblInd w:w="108" w:type="dxa"/>
        <w:tblBorders>
          <w:top w:val="single" w:sz="2" w:space="0" w:color="000080"/>
          <w:bottom w:val="single" w:sz="2" w:space="0" w:color="000080"/>
        </w:tblBorders>
        <w:tblLook w:val="01E0"/>
      </w:tblPr>
      <w:tblGrid>
        <w:gridCol w:w="4080"/>
        <w:gridCol w:w="1680"/>
        <w:gridCol w:w="1951"/>
      </w:tblGrid>
      <w:tr w:rsidR="009E1950" w:rsidRPr="00624284">
        <w:trPr>
          <w:cantSplit/>
        </w:trPr>
        <w:tc>
          <w:tcPr>
            <w:tcW w:w="4080" w:type="dxa"/>
            <w:tcBorders>
              <w:top w:val="single" w:sz="2" w:space="0" w:color="000080"/>
              <w:bottom w:val="single" w:sz="2" w:space="0" w:color="000080"/>
            </w:tcBorders>
            <w:shd w:val="clear" w:color="auto" w:fill="D5D5FF"/>
          </w:tcPr>
          <w:p w:rsidR="009E1950" w:rsidRPr="00624284" w:rsidRDefault="009E1950" w:rsidP="001129F5">
            <w:pPr>
              <w:pStyle w:val="CAR-TableColHead-Right"/>
            </w:pPr>
          </w:p>
        </w:tc>
        <w:tc>
          <w:tcPr>
            <w:tcW w:w="1680" w:type="dxa"/>
            <w:tcBorders>
              <w:top w:val="single" w:sz="2" w:space="0" w:color="000080"/>
              <w:bottom w:val="single" w:sz="2" w:space="0" w:color="000080"/>
            </w:tcBorders>
            <w:shd w:val="clear" w:color="auto" w:fill="D5D5FF"/>
          </w:tcPr>
          <w:p w:rsidR="009E1950" w:rsidRPr="00624284" w:rsidRDefault="009E1950" w:rsidP="001129F5">
            <w:pPr>
              <w:pStyle w:val="CAR-TableColHead-Right"/>
            </w:pPr>
            <w:r w:rsidRPr="00624284">
              <w:t>Conduct</w:t>
            </w:r>
          </w:p>
        </w:tc>
        <w:tc>
          <w:tcPr>
            <w:tcW w:w="1951" w:type="dxa"/>
            <w:tcBorders>
              <w:top w:val="single" w:sz="2" w:space="0" w:color="000080"/>
              <w:bottom w:val="single" w:sz="2" w:space="0" w:color="000080"/>
            </w:tcBorders>
            <w:shd w:val="clear" w:color="auto" w:fill="D5D5FF"/>
          </w:tcPr>
          <w:p w:rsidR="009E1950" w:rsidRPr="00624284" w:rsidRDefault="009E1950" w:rsidP="001129F5">
            <w:pPr>
              <w:pStyle w:val="CAR-TableColHead-Right"/>
            </w:pPr>
            <w:r w:rsidRPr="00624284">
              <w:t>Administrative</w:t>
            </w:r>
          </w:p>
        </w:tc>
      </w:tr>
      <w:tr w:rsidR="009E1950" w:rsidRPr="00624284">
        <w:trPr>
          <w:cantSplit/>
        </w:trPr>
        <w:tc>
          <w:tcPr>
            <w:tcW w:w="4080" w:type="dxa"/>
            <w:tcBorders>
              <w:top w:val="single" w:sz="2" w:space="0" w:color="000080"/>
            </w:tcBorders>
          </w:tcPr>
          <w:p w:rsidR="009E1950" w:rsidRDefault="009E1950" w:rsidP="001129F5">
            <w:pPr>
              <w:pStyle w:val="CAR-TableText-Left"/>
            </w:pPr>
            <w:r w:rsidRPr="00624284">
              <w:t>Uncompleted matters at 1/7/1</w:t>
            </w:r>
            <w:r>
              <w:t>2</w:t>
            </w:r>
          </w:p>
          <w:p w:rsidR="009E1950" w:rsidRDefault="009E1950" w:rsidP="001129F5">
            <w:pPr>
              <w:pStyle w:val="CAR-TableText-Left"/>
            </w:pPr>
            <w:r>
              <w:t>New Applications</w:t>
            </w:r>
          </w:p>
          <w:p w:rsidR="009E1950" w:rsidRPr="00624284" w:rsidRDefault="009E1950" w:rsidP="001129F5">
            <w:pPr>
              <w:pStyle w:val="CAR-TableText-Left"/>
            </w:pPr>
            <w:r>
              <w:t>Matters Withdrawn</w:t>
            </w:r>
          </w:p>
        </w:tc>
        <w:tc>
          <w:tcPr>
            <w:tcW w:w="1680" w:type="dxa"/>
            <w:tcBorders>
              <w:top w:val="single" w:sz="2" w:space="0" w:color="000080"/>
            </w:tcBorders>
          </w:tcPr>
          <w:p w:rsidR="009E1950" w:rsidRDefault="009E1950" w:rsidP="001129F5">
            <w:pPr>
              <w:pStyle w:val="CAR-TableText-Right"/>
            </w:pPr>
            <w:r>
              <w:t>-</w:t>
            </w:r>
          </w:p>
          <w:p w:rsidR="009E1950" w:rsidRDefault="009E1950" w:rsidP="001129F5">
            <w:pPr>
              <w:pStyle w:val="CAR-TableText-Right"/>
            </w:pPr>
            <w:r>
              <w:t>4</w:t>
            </w:r>
          </w:p>
          <w:p w:rsidR="009E1950" w:rsidRPr="00624284" w:rsidRDefault="009E1950" w:rsidP="001129F5">
            <w:pPr>
              <w:pStyle w:val="CAR-TableText-Right"/>
            </w:pPr>
          </w:p>
        </w:tc>
        <w:tc>
          <w:tcPr>
            <w:tcW w:w="1951" w:type="dxa"/>
            <w:tcBorders>
              <w:top w:val="single" w:sz="2" w:space="0" w:color="000080"/>
            </w:tcBorders>
          </w:tcPr>
          <w:p w:rsidR="009E1950" w:rsidRDefault="009E1950" w:rsidP="001129F5">
            <w:pPr>
              <w:pStyle w:val="CAR-TableText-Right"/>
            </w:pPr>
            <w:r>
              <w:t>-</w:t>
            </w:r>
          </w:p>
          <w:p w:rsidR="009E1950" w:rsidRDefault="009E1950" w:rsidP="001129F5">
            <w:pPr>
              <w:pStyle w:val="CAR-TableText-Right"/>
            </w:pPr>
            <w:r>
              <w:t>1</w:t>
            </w:r>
          </w:p>
          <w:p w:rsidR="009E1950" w:rsidRPr="00624284" w:rsidRDefault="009E1950" w:rsidP="001129F5">
            <w:pPr>
              <w:pStyle w:val="CAR-TableText-Right"/>
            </w:pPr>
            <w:r>
              <w:t>-1</w:t>
            </w:r>
          </w:p>
        </w:tc>
      </w:tr>
      <w:tr w:rsidR="009E1950" w:rsidRPr="00624284">
        <w:trPr>
          <w:cantSplit/>
        </w:trPr>
        <w:tc>
          <w:tcPr>
            <w:tcW w:w="4080" w:type="dxa"/>
          </w:tcPr>
          <w:p w:rsidR="009E1950" w:rsidRPr="00624284" w:rsidRDefault="009E1950" w:rsidP="001129F5">
            <w:pPr>
              <w:pStyle w:val="CAR-TableText-Left"/>
            </w:pPr>
            <w:r>
              <w:t>Matters dealt with – orders issued</w:t>
            </w:r>
          </w:p>
        </w:tc>
        <w:tc>
          <w:tcPr>
            <w:tcW w:w="1680" w:type="dxa"/>
          </w:tcPr>
          <w:p w:rsidR="009E1950" w:rsidRPr="00624284" w:rsidDel="00317C0C" w:rsidRDefault="009E1950" w:rsidP="001129F5">
            <w:pPr>
              <w:pStyle w:val="CAR-TableText-Right"/>
            </w:pPr>
            <w:r>
              <w:t>-</w:t>
            </w:r>
          </w:p>
        </w:tc>
        <w:tc>
          <w:tcPr>
            <w:tcW w:w="1951" w:type="dxa"/>
          </w:tcPr>
          <w:p w:rsidR="009E1950" w:rsidRPr="00624284" w:rsidRDefault="009E1950" w:rsidP="001129F5">
            <w:pPr>
              <w:pStyle w:val="CAR-TableText-Right"/>
            </w:pPr>
            <w:r>
              <w:t>-</w:t>
            </w:r>
          </w:p>
        </w:tc>
      </w:tr>
      <w:tr w:rsidR="009E1950" w:rsidRPr="00624284">
        <w:trPr>
          <w:cantSplit/>
        </w:trPr>
        <w:tc>
          <w:tcPr>
            <w:tcW w:w="4080" w:type="dxa"/>
          </w:tcPr>
          <w:p w:rsidR="009E1950" w:rsidRPr="00624284" w:rsidRDefault="009E1950" w:rsidP="001129F5">
            <w:pPr>
              <w:pStyle w:val="CAR-TableText-Left"/>
            </w:pPr>
            <w:r w:rsidRPr="00624284">
              <w:t>Uncompleted matters at 30/6/1</w:t>
            </w:r>
            <w:r>
              <w:t>3</w:t>
            </w:r>
          </w:p>
        </w:tc>
        <w:tc>
          <w:tcPr>
            <w:tcW w:w="1680" w:type="dxa"/>
          </w:tcPr>
          <w:p w:rsidR="009E1950" w:rsidRPr="00624284" w:rsidRDefault="009E1950" w:rsidP="001129F5">
            <w:pPr>
              <w:pStyle w:val="CAR-TableText-Right"/>
            </w:pPr>
            <w:r>
              <w:t>4</w:t>
            </w:r>
          </w:p>
        </w:tc>
        <w:tc>
          <w:tcPr>
            <w:tcW w:w="1951" w:type="dxa"/>
          </w:tcPr>
          <w:p w:rsidR="009E1950" w:rsidRPr="00624284" w:rsidRDefault="009E1950" w:rsidP="001129F5">
            <w:pPr>
              <w:pStyle w:val="CAR-TableText-Right"/>
            </w:pPr>
            <w:r w:rsidRPr="00624284">
              <w:t>-</w:t>
            </w:r>
          </w:p>
        </w:tc>
      </w:tr>
    </w:tbl>
    <w:p w:rsidR="009E1950" w:rsidRPr="0020462D" w:rsidRDefault="002C5F57" w:rsidP="009E1950">
      <w:pPr>
        <w:pStyle w:val="SingleParagraph"/>
        <w:rPr>
          <w:vertAlign w:val="superscript"/>
        </w:rPr>
      </w:pPr>
      <w:r>
        <w:rPr>
          <w:vertAlign w:val="superscript"/>
        </w:rPr>
        <w:t xml:space="preserve">The first of the new conduct applications </w:t>
      </w:r>
      <w:r w:rsidRPr="0020462D">
        <w:rPr>
          <w:vertAlign w:val="superscript"/>
        </w:rPr>
        <w:t xml:space="preserve">was heard in May 2013 and a decision was issued in July 2013.  The </w:t>
      </w:r>
      <w:r>
        <w:rPr>
          <w:vertAlign w:val="superscript"/>
        </w:rPr>
        <w:t xml:space="preserve">second </w:t>
      </w:r>
      <w:r w:rsidRPr="0020462D">
        <w:rPr>
          <w:vertAlign w:val="superscript"/>
        </w:rPr>
        <w:t>was heard in July 2013</w:t>
      </w:r>
      <w:r>
        <w:rPr>
          <w:vertAlign w:val="superscript"/>
        </w:rPr>
        <w:t xml:space="preserve"> and a decision is pending</w:t>
      </w:r>
      <w:r w:rsidRPr="0020462D">
        <w:rPr>
          <w:vertAlign w:val="superscript"/>
        </w:rPr>
        <w:t xml:space="preserve">.  </w:t>
      </w:r>
      <w:r>
        <w:rPr>
          <w:vertAlign w:val="superscript"/>
        </w:rPr>
        <w:t>T</w:t>
      </w:r>
      <w:r w:rsidRPr="0020462D">
        <w:rPr>
          <w:vertAlign w:val="superscript"/>
        </w:rPr>
        <w:t xml:space="preserve">he </w:t>
      </w:r>
      <w:r>
        <w:rPr>
          <w:vertAlign w:val="superscript"/>
        </w:rPr>
        <w:t xml:space="preserve">other two </w:t>
      </w:r>
      <w:r w:rsidRPr="0020462D">
        <w:rPr>
          <w:vertAlign w:val="superscript"/>
        </w:rPr>
        <w:t xml:space="preserve">new conduct </w:t>
      </w:r>
      <w:r>
        <w:rPr>
          <w:vertAlign w:val="superscript"/>
        </w:rPr>
        <w:t xml:space="preserve">applications </w:t>
      </w:r>
      <w:r w:rsidRPr="0020462D">
        <w:rPr>
          <w:vertAlign w:val="superscript"/>
        </w:rPr>
        <w:t>were</w:t>
      </w:r>
      <w:r>
        <w:rPr>
          <w:vertAlign w:val="superscript"/>
        </w:rPr>
        <w:t xml:space="preserve"> only</w:t>
      </w:r>
      <w:r w:rsidRPr="0020462D">
        <w:rPr>
          <w:vertAlign w:val="superscript"/>
        </w:rPr>
        <w:t xml:space="preserve"> lodged with </w:t>
      </w:r>
      <w:r>
        <w:rPr>
          <w:vertAlign w:val="superscript"/>
        </w:rPr>
        <w:t>CALDB</w:t>
      </w:r>
      <w:r w:rsidRPr="0020462D">
        <w:rPr>
          <w:vertAlign w:val="superscript"/>
        </w:rPr>
        <w:t xml:space="preserve"> in June 2013</w:t>
      </w:r>
      <w:r>
        <w:rPr>
          <w:vertAlign w:val="superscript"/>
        </w:rPr>
        <w:t xml:space="preserve"> and are to be heard later this year</w:t>
      </w:r>
      <w:r w:rsidRPr="0020462D">
        <w:rPr>
          <w:vertAlign w:val="superscript"/>
        </w:rPr>
        <w:t xml:space="preserve">.  </w:t>
      </w:r>
    </w:p>
    <w:p w:rsidR="009E1950" w:rsidRPr="00D83C38" w:rsidRDefault="009E1950" w:rsidP="009E1950">
      <w:pPr>
        <w:pStyle w:val="CAR-Heading-2"/>
        <w:outlineLvl w:val="0"/>
      </w:pPr>
      <w:r w:rsidRPr="00D83C38">
        <w:t>Hearing days during the report</w:t>
      </w:r>
      <w:r w:rsidR="00511DDD">
        <w:t>ing</w:t>
      </w:r>
      <w:r w:rsidRPr="00D83C38">
        <w:t xml:space="preserve"> year</w:t>
      </w:r>
    </w:p>
    <w:p w:rsidR="009E1950" w:rsidRPr="00D83C38" w:rsidRDefault="009E1950" w:rsidP="009E1950">
      <w:pPr>
        <w:pStyle w:val="CAR-BodyText-Left"/>
      </w:pPr>
      <w:r w:rsidRPr="00D83C38">
        <w:t xml:space="preserve">As matters can extend over the end of a financial year, the </w:t>
      </w:r>
      <w:r>
        <w:t xml:space="preserve">overview in the </w:t>
      </w:r>
      <w:r w:rsidRPr="00D83C38">
        <w:t xml:space="preserve">table below </w:t>
      </w:r>
      <w:r>
        <w:t xml:space="preserve">provides data on </w:t>
      </w:r>
      <w:r w:rsidRPr="00D83C38">
        <w:t xml:space="preserve">the number of days in which Board members were </w:t>
      </w:r>
      <w:r>
        <w:t>engaged</w:t>
      </w:r>
      <w:r w:rsidRPr="00D83C38">
        <w:t xml:space="preserve"> in actual hearing days. </w:t>
      </w:r>
    </w:p>
    <w:tbl>
      <w:tblPr>
        <w:tblW w:w="7711" w:type="dxa"/>
        <w:tblInd w:w="108" w:type="dxa"/>
        <w:tblBorders>
          <w:top w:val="single" w:sz="2" w:space="0" w:color="000080"/>
          <w:bottom w:val="single" w:sz="2" w:space="0" w:color="000080"/>
          <w:insideH w:val="single" w:sz="2" w:space="0" w:color="000080"/>
        </w:tblBorders>
        <w:tblLook w:val="01E0"/>
      </w:tblPr>
      <w:tblGrid>
        <w:gridCol w:w="1532"/>
        <w:gridCol w:w="1537"/>
        <w:gridCol w:w="1537"/>
        <w:gridCol w:w="1552"/>
        <w:gridCol w:w="1553"/>
      </w:tblGrid>
      <w:tr w:rsidR="009E1950" w:rsidRPr="00D83C38">
        <w:tc>
          <w:tcPr>
            <w:tcW w:w="1585" w:type="dxa"/>
            <w:tcBorders>
              <w:top w:val="single" w:sz="2" w:space="0" w:color="000080"/>
              <w:bottom w:val="single" w:sz="2" w:space="0" w:color="000080"/>
            </w:tcBorders>
            <w:shd w:val="clear" w:color="auto" w:fill="D5D5FF"/>
          </w:tcPr>
          <w:p w:rsidR="009E1950" w:rsidRPr="00D83C38" w:rsidRDefault="009E1950" w:rsidP="001129F5">
            <w:pPr>
              <w:pStyle w:val="CAR-TableColHead-Left"/>
            </w:pPr>
            <w:r w:rsidRPr="00D83C38">
              <w:t>Activity</w:t>
            </w:r>
          </w:p>
        </w:tc>
        <w:tc>
          <w:tcPr>
            <w:tcW w:w="1585" w:type="dxa"/>
            <w:tcBorders>
              <w:top w:val="single" w:sz="2" w:space="0" w:color="000080"/>
              <w:bottom w:val="single" w:sz="2" w:space="0" w:color="000080"/>
            </w:tcBorders>
            <w:shd w:val="clear" w:color="auto" w:fill="D5D5FF"/>
          </w:tcPr>
          <w:p w:rsidR="009E1950" w:rsidRPr="00D83C38" w:rsidRDefault="009E1950" w:rsidP="001129F5">
            <w:pPr>
              <w:pStyle w:val="CAR-TableColHead-Left"/>
            </w:pPr>
            <w:r w:rsidRPr="00D83C38">
              <w:t>Auditors 201</w:t>
            </w:r>
            <w:r>
              <w:t>3</w:t>
            </w:r>
          </w:p>
        </w:tc>
        <w:tc>
          <w:tcPr>
            <w:tcW w:w="1585" w:type="dxa"/>
            <w:tcBorders>
              <w:top w:val="single" w:sz="2" w:space="0" w:color="000080"/>
              <w:bottom w:val="single" w:sz="2" w:space="0" w:color="000080"/>
            </w:tcBorders>
            <w:shd w:val="clear" w:color="auto" w:fill="D5D5FF"/>
          </w:tcPr>
          <w:p w:rsidR="009E1950" w:rsidRPr="00D83C38" w:rsidRDefault="009E1950" w:rsidP="001129F5">
            <w:pPr>
              <w:pStyle w:val="CAR-TableColHead-Left"/>
            </w:pPr>
            <w:r w:rsidRPr="00D83C38">
              <w:t>Auditors 201</w:t>
            </w:r>
            <w:r>
              <w:t>2</w:t>
            </w:r>
          </w:p>
        </w:tc>
        <w:tc>
          <w:tcPr>
            <w:tcW w:w="1585" w:type="dxa"/>
            <w:tcBorders>
              <w:top w:val="single" w:sz="2" w:space="0" w:color="000080"/>
              <w:bottom w:val="single" w:sz="2" w:space="0" w:color="000080"/>
            </w:tcBorders>
            <w:shd w:val="clear" w:color="auto" w:fill="D5D5FF"/>
          </w:tcPr>
          <w:p w:rsidR="009E1950" w:rsidRPr="00D83C38" w:rsidRDefault="009E1950" w:rsidP="001129F5">
            <w:pPr>
              <w:pStyle w:val="CAR-TableColHead-Left"/>
            </w:pPr>
            <w:r w:rsidRPr="00D83C38">
              <w:t>Liquidators 201</w:t>
            </w:r>
            <w:r>
              <w:t>3</w:t>
            </w:r>
          </w:p>
        </w:tc>
        <w:tc>
          <w:tcPr>
            <w:tcW w:w="1586" w:type="dxa"/>
            <w:tcBorders>
              <w:top w:val="single" w:sz="2" w:space="0" w:color="000080"/>
              <w:bottom w:val="single" w:sz="2" w:space="0" w:color="000080"/>
            </w:tcBorders>
            <w:shd w:val="clear" w:color="auto" w:fill="D5D5FF"/>
          </w:tcPr>
          <w:p w:rsidR="009E1950" w:rsidRPr="00D83C38" w:rsidRDefault="009E1950" w:rsidP="001129F5">
            <w:pPr>
              <w:pStyle w:val="CAR-TableColHead-Left"/>
            </w:pPr>
            <w:r w:rsidRPr="00D83C38">
              <w:t>Liquidators 201</w:t>
            </w:r>
            <w:r>
              <w:t>2</w:t>
            </w:r>
          </w:p>
        </w:tc>
      </w:tr>
      <w:tr w:rsidR="009E1950" w:rsidRPr="00D83C38">
        <w:tc>
          <w:tcPr>
            <w:tcW w:w="1585" w:type="dxa"/>
            <w:tcBorders>
              <w:top w:val="single" w:sz="2" w:space="0" w:color="000080"/>
            </w:tcBorders>
          </w:tcPr>
          <w:p w:rsidR="009E1950" w:rsidRPr="00D83C38" w:rsidRDefault="009E1950" w:rsidP="001129F5">
            <w:pPr>
              <w:pStyle w:val="CAR-TableText-Left"/>
            </w:pPr>
            <w:r w:rsidRPr="00D83C38">
              <w:t xml:space="preserve">Hearing days </w:t>
            </w:r>
          </w:p>
        </w:tc>
        <w:tc>
          <w:tcPr>
            <w:tcW w:w="1585" w:type="dxa"/>
            <w:tcBorders>
              <w:top w:val="single" w:sz="2" w:space="0" w:color="000080"/>
            </w:tcBorders>
          </w:tcPr>
          <w:p w:rsidR="009E1950" w:rsidRPr="00D83C38" w:rsidRDefault="009E1950" w:rsidP="001129F5">
            <w:pPr>
              <w:pStyle w:val="CAR-TableText-Left"/>
            </w:pPr>
            <w:r>
              <w:t>3</w:t>
            </w:r>
            <w:r w:rsidRPr="00D83C38">
              <w:t xml:space="preserve"> man days</w:t>
            </w:r>
          </w:p>
        </w:tc>
        <w:tc>
          <w:tcPr>
            <w:tcW w:w="1585" w:type="dxa"/>
            <w:tcBorders>
              <w:top w:val="single" w:sz="2" w:space="0" w:color="000080"/>
            </w:tcBorders>
          </w:tcPr>
          <w:p w:rsidR="009E1950" w:rsidRPr="00D83C38" w:rsidRDefault="009E1950" w:rsidP="001129F5">
            <w:pPr>
              <w:pStyle w:val="CAR-TableText-Left"/>
            </w:pPr>
            <w:r w:rsidRPr="00D83C38">
              <w:t>0 man days</w:t>
            </w:r>
          </w:p>
        </w:tc>
        <w:tc>
          <w:tcPr>
            <w:tcW w:w="1585" w:type="dxa"/>
            <w:tcBorders>
              <w:top w:val="single" w:sz="2" w:space="0" w:color="000080"/>
            </w:tcBorders>
          </w:tcPr>
          <w:p w:rsidR="009E1950" w:rsidRPr="00D83C38" w:rsidRDefault="009E1950" w:rsidP="001129F5">
            <w:pPr>
              <w:pStyle w:val="CAR-TableText-Left"/>
            </w:pPr>
            <w:r>
              <w:t>30</w:t>
            </w:r>
            <w:r w:rsidRPr="00D83C38">
              <w:t xml:space="preserve"> man days</w:t>
            </w:r>
          </w:p>
        </w:tc>
        <w:tc>
          <w:tcPr>
            <w:tcW w:w="1586" w:type="dxa"/>
            <w:tcBorders>
              <w:top w:val="single" w:sz="2" w:space="0" w:color="000080"/>
            </w:tcBorders>
          </w:tcPr>
          <w:p w:rsidR="009E1950" w:rsidRPr="00D83C38" w:rsidRDefault="009E1950" w:rsidP="001129F5">
            <w:pPr>
              <w:pStyle w:val="CAR-TableText-Left"/>
            </w:pPr>
            <w:r>
              <w:t>0</w:t>
            </w:r>
            <w:r w:rsidRPr="00D83C38">
              <w:t xml:space="preserve"> man days</w:t>
            </w:r>
          </w:p>
        </w:tc>
      </w:tr>
    </w:tbl>
    <w:p w:rsidR="009E1950" w:rsidRPr="00D83C38" w:rsidRDefault="009E1950" w:rsidP="009E1950">
      <w:pPr>
        <w:pStyle w:val="SingleParagraph"/>
      </w:pPr>
    </w:p>
    <w:p w:rsidR="00EA5B2E" w:rsidRDefault="00EA5B2E" w:rsidP="00EA5B2E">
      <w:pPr>
        <w:pStyle w:val="CAR-BodyText-Left"/>
      </w:pPr>
      <w:r w:rsidRPr="00D83C38">
        <w:t xml:space="preserve">In addition </w:t>
      </w:r>
      <w:r>
        <w:t xml:space="preserve">to attendance for </w:t>
      </w:r>
      <w:r w:rsidRPr="00D83C38">
        <w:t xml:space="preserve">formal hearing days, </w:t>
      </w:r>
      <w:r>
        <w:t xml:space="preserve">CALDB </w:t>
      </w:r>
      <w:r w:rsidRPr="00D83C38">
        <w:t xml:space="preserve">members are involved in preparation for hearings, including travel to hearing venues, review and analysis of evidence, preparation and review of determinations and subsequent decisions and orders. In respect of each application that </w:t>
      </w:r>
      <w:r>
        <w:t>proceeds</w:t>
      </w:r>
      <w:r w:rsidRPr="00D83C38">
        <w:t xml:space="preserve"> to a contested hearing, the Chairperson of the relevant Panel plays the principal role in drafting the determination and any orders, together with the supporting reasons for each. In addition, the Board Chairperson is responsible for conducting pre</w:t>
      </w:r>
      <w:r w:rsidRPr="00D83C38">
        <w:noBreakHyphen/>
        <w:t xml:space="preserve">hearing conferences relating to all matters before </w:t>
      </w:r>
      <w:r>
        <w:t>CALDB</w:t>
      </w:r>
      <w:r w:rsidRPr="00D83C38">
        <w:t xml:space="preserve"> and is also involved in the general affairs of </w:t>
      </w:r>
      <w:r>
        <w:t>CALDB</w:t>
      </w:r>
      <w:r w:rsidRPr="00D83C38">
        <w:t xml:space="preserve">. </w:t>
      </w:r>
    </w:p>
    <w:p w:rsidR="009E1950" w:rsidRDefault="009E1950" w:rsidP="009E1950">
      <w:pPr>
        <w:pStyle w:val="CAR-Heading-2"/>
        <w:outlineLvl w:val="0"/>
      </w:pPr>
      <w:r w:rsidRPr="00D83C38">
        <w:t>Results by nature of sanction</w:t>
      </w:r>
    </w:p>
    <w:p w:rsidR="007D5B3D" w:rsidRDefault="009D3724">
      <w:pPr>
        <w:pStyle w:val="CAR-BodyText-Left"/>
        <w:outlineLvl w:val="0"/>
      </w:pPr>
      <w:r>
        <w:t>The table</w:t>
      </w:r>
      <w:r w:rsidRPr="00D83C38">
        <w:t xml:space="preserve"> </w:t>
      </w:r>
      <w:r>
        <w:t xml:space="preserve">below records the results of matters before CALDB during the reporting year by nature of sanction. As already stated, the outcomes of the new matters brought to CALDB during the reporting year are largely not yet reflected in this year’s report. </w:t>
      </w:r>
    </w:p>
    <w:tbl>
      <w:tblPr>
        <w:tblW w:w="7816" w:type="dxa"/>
        <w:tblInd w:w="108" w:type="dxa"/>
        <w:tblBorders>
          <w:top w:val="single" w:sz="2" w:space="0" w:color="000080"/>
          <w:bottom w:val="single" w:sz="2" w:space="0" w:color="000080"/>
        </w:tblBorders>
        <w:tblLook w:val="01E0"/>
      </w:tblPr>
      <w:tblGrid>
        <w:gridCol w:w="2653"/>
        <w:gridCol w:w="1033"/>
        <w:gridCol w:w="1033"/>
        <w:gridCol w:w="1033"/>
        <w:gridCol w:w="1032"/>
        <w:gridCol w:w="1032"/>
      </w:tblGrid>
      <w:tr w:rsidR="009E1950" w:rsidRPr="00D83C38">
        <w:tc>
          <w:tcPr>
            <w:tcW w:w="1697" w:type="pct"/>
            <w:tcBorders>
              <w:top w:val="single" w:sz="2" w:space="0" w:color="000080"/>
              <w:bottom w:val="single" w:sz="2" w:space="0" w:color="000080"/>
            </w:tcBorders>
            <w:shd w:val="clear" w:color="auto" w:fill="D5D5FF"/>
          </w:tcPr>
          <w:p w:rsidR="009E1950" w:rsidRPr="00D83C38" w:rsidRDefault="009E1950" w:rsidP="001129F5">
            <w:pPr>
              <w:pStyle w:val="CAR-TableColHead-Left"/>
            </w:pPr>
            <w:r w:rsidRPr="00D83C38">
              <w:t>Results of application</w:t>
            </w:r>
          </w:p>
        </w:tc>
        <w:tc>
          <w:tcPr>
            <w:tcW w:w="661" w:type="pct"/>
            <w:tcBorders>
              <w:top w:val="single" w:sz="2" w:space="0" w:color="000080"/>
              <w:bottom w:val="single" w:sz="2" w:space="0" w:color="000080"/>
            </w:tcBorders>
            <w:shd w:val="clear" w:color="auto" w:fill="D5D5FF"/>
          </w:tcPr>
          <w:p w:rsidR="009E1950" w:rsidRPr="00D83C38" w:rsidRDefault="009E1950" w:rsidP="001129F5">
            <w:pPr>
              <w:pStyle w:val="CAR-TableColHead-Right"/>
            </w:pPr>
            <w:r w:rsidRPr="00D83C38">
              <w:t>08/09</w:t>
            </w:r>
          </w:p>
        </w:tc>
        <w:tc>
          <w:tcPr>
            <w:tcW w:w="661" w:type="pct"/>
            <w:tcBorders>
              <w:top w:val="single" w:sz="2" w:space="0" w:color="000080"/>
              <w:bottom w:val="single" w:sz="2" w:space="0" w:color="000080"/>
            </w:tcBorders>
            <w:shd w:val="clear" w:color="auto" w:fill="D5D5FF"/>
          </w:tcPr>
          <w:p w:rsidR="009E1950" w:rsidRPr="00D83C38" w:rsidRDefault="009E1950" w:rsidP="001129F5">
            <w:pPr>
              <w:pStyle w:val="CAR-TableColHead-Right"/>
            </w:pPr>
            <w:r w:rsidRPr="00D83C38">
              <w:t>09/10</w:t>
            </w:r>
          </w:p>
        </w:tc>
        <w:tc>
          <w:tcPr>
            <w:tcW w:w="661" w:type="pct"/>
            <w:tcBorders>
              <w:top w:val="single" w:sz="2" w:space="0" w:color="000080"/>
              <w:bottom w:val="single" w:sz="2" w:space="0" w:color="000080"/>
            </w:tcBorders>
            <w:shd w:val="clear" w:color="auto" w:fill="D5D5FF"/>
          </w:tcPr>
          <w:p w:rsidR="009E1950" w:rsidRPr="00D83C38" w:rsidRDefault="009E1950" w:rsidP="001129F5">
            <w:pPr>
              <w:pStyle w:val="CAR-TableColHead-Right"/>
            </w:pPr>
            <w:r w:rsidRPr="00D83C38">
              <w:t>10/11</w:t>
            </w:r>
          </w:p>
        </w:tc>
        <w:tc>
          <w:tcPr>
            <w:tcW w:w="660" w:type="pct"/>
            <w:tcBorders>
              <w:top w:val="single" w:sz="2" w:space="0" w:color="000080"/>
              <w:bottom w:val="single" w:sz="2" w:space="0" w:color="000080"/>
            </w:tcBorders>
            <w:shd w:val="clear" w:color="auto" w:fill="D5D5FF"/>
          </w:tcPr>
          <w:p w:rsidR="009E1950" w:rsidRPr="00D83C38" w:rsidRDefault="009E1950" w:rsidP="001129F5">
            <w:pPr>
              <w:pStyle w:val="CAR-TableColHead-Right"/>
            </w:pPr>
            <w:r w:rsidRPr="00D83C38">
              <w:t>1</w:t>
            </w:r>
            <w:r>
              <w:t>1</w:t>
            </w:r>
            <w:r w:rsidRPr="00D83C38">
              <w:t>/1</w:t>
            </w:r>
            <w:r>
              <w:t>2</w:t>
            </w:r>
          </w:p>
        </w:tc>
        <w:tc>
          <w:tcPr>
            <w:tcW w:w="660" w:type="pct"/>
            <w:tcBorders>
              <w:top w:val="single" w:sz="2" w:space="0" w:color="000080"/>
              <w:bottom w:val="single" w:sz="2" w:space="0" w:color="000080"/>
            </w:tcBorders>
            <w:shd w:val="clear" w:color="auto" w:fill="D5D5FF"/>
          </w:tcPr>
          <w:p w:rsidR="009E1950" w:rsidRPr="00D83C38" w:rsidRDefault="009E1950" w:rsidP="001129F5">
            <w:pPr>
              <w:pStyle w:val="CAR-TableColHead-Right"/>
            </w:pPr>
            <w:r w:rsidRPr="00D83C38">
              <w:t>1</w:t>
            </w:r>
            <w:r>
              <w:t>2</w:t>
            </w:r>
            <w:r w:rsidRPr="00D83C38">
              <w:t>/1</w:t>
            </w:r>
            <w:r>
              <w:t>3</w:t>
            </w:r>
          </w:p>
        </w:tc>
      </w:tr>
      <w:tr w:rsidR="009E1950" w:rsidRPr="00D83C38">
        <w:tc>
          <w:tcPr>
            <w:tcW w:w="1697" w:type="pct"/>
            <w:tcBorders>
              <w:top w:val="single" w:sz="2" w:space="0" w:color="000080"/>
            </w:tcBorders>
          </w:tcPr>
          <w:p w:rsidR="009E1950" w:rsidRPr="00D83C38" w:rsidRDefault="009E1950" w:rsidP="001129F5">
            <w:pPr>
              <w:pStyle w:val="CAR-TableText-Left"/>
            </w:pPr>
            <w:r w:rsidRPr="00D83C38">
              <w:t>Registration cancelled</w:t>
            </w:r>
          </w:p>
        </w:tc>
        <w:tc>
          <w:tcPr>
            <w:tcW w:w="661" w:type="pct"/>
            <w:tcBorders>
              <w:top w:val="single" w:sz="2" w:space="0" w:color="000080"/>
            </w:tcBorders>
          </w:tcPr>
          <w:p w:rsidR="009E1950" w:rsidRPr="00D83C38" w:rsidRDefault="009E1950" w:rsidP="001129F5">
            <w:pPr>
              <w:pStyle w:val="CAR-TableText-Right"/>
            </w:pPr>
            <w:r w:rsidRPr="00D83C38">
              <w:t>6</w:t>
            </w:r>
          </w:p>
        </w:tc>
        <w:tc>
          <w:tcPr>
            <w:tcW w:w="661" w:type="pct"/>
            <w:tcBorders>
              <w:top w:val="single" w:sz="2" w:space="0" w:color="000080"/>
            </w:tcBorders>
          </w:tcPr>
          <w:p w:rsidR="009E1950" w:rsidRPr="00D83C38" w:rsidRDefault="009E1950" w:rsidP="001129F5">
            <w:pPr>
              <w:pStyle w:val="CAR-TableText-Right"/>
            </w:pPr>
            <w:r w:rsidRPr="00D83C38">
              <w:t>1</w:t>
            </w:r>
          </w:p>
        </w:tc>
        <w:tc>
          <w:tcPr>
            <w:tcW w:w="661" w:type="pct"/>
            <w:tcBorders>
              <w:top w:val="single" w:sz="2" w:space="0" w:color="000080"/>
            </w:tcBorders>
          </w:tcPr>
          <w:p w:rsidR="009E1950" w:rsidRPr="00D83C38" w:rsidRDefault="009E1950" w:rsidP="001129F5">
            <w:pPr>
              <w:pStyle w:val="CAR-TableText-Right"/>
            </w:pPr>
            <w:r w:rsidRPr="00D83C38">
              <w:t>-</w:t>
            </w:r>
          </w:p>
        </w:tc>
        <w:tc>
          <w:tcPr>
            <w:tcW w:w="660" w:type="pct"/>
            <w:tcBorders>
              <w:top w:val="single" w:sz="2" w:space="0" w:color="000080"/>
            </w:tcBorders>
          </w:tcPr>
          <w:p w:rsidR="009E1950" w:rsidRPr="00D83C38" w:rsidRDefault="009E1950" w:rsidP="001129F5">
            <w:pPr>
              <w:pStyle w:val="CAR-TableText-Right"/>
            </w:pPr>
            <w:r>
              <w:t>1</w:t>
            </w:r>
          </w:p>
        </w:tc>
        <w:tc>
          <w:tcPr>
            <w:tcW w:w="660" w:type="pct"/>
            <w:tcBorders>
              <w:top w:val="single" w:sz="2" w:space="0" w:color="000080"/>
            </w:tcBorders>
          </w:tcPr>
          <w:p w:rsidR="009E1950" w:rsidRPr="00D83C38" w:rsidRDefault="00EA5B2E" w:rsidP="001129F5">
            <w:pPr>
              <w:pStyle w:val="CAR-TableText-Right"/>
            </w:pPr>
            <w:r>
              <w:t>1</w:t>
            </w:r>
          </w:p>
        </w:tc>
      </w:tr>
      <w:tr w:rsidR="009E1950" w:rsidRPr="00D83C38">
        <w:tc>
          <w:tcPr>
            <w:tcW w:w="1697" w:type="pct"/>
          </w:tcPr>
          <w:p w:rsidR="009E1950" w:rsidRPr="00D83C38" w:rsidRDefault="009E1950" w:rsidP="001129F5">
            <w:pPr>
              <w:pStyle w:val="CAR-TableText-Left"/>
            </w:pPr>
            <w:r w:rsidRPr="00D83C38">
              <w:t>Registration suspended</w:t>
            </w:r>
          </w:p>
        </w:tc>
        <w:tc>
          <w:tcPr>
            <w:tcW w:w="661" w:type="pct"/>
          </w:tcPr>
          <w:p w:rsidR="009E1950" w:rsidRPr="00D83C38" w:rsidRDefault="009E1950" w:rsidP="001129F5">
            <w:pPr>
              <w:pStyle w:val="CAR-TableText-Right"/>
            </w:pPr>
            <w:r w:rsidRPr="00D83C38">
              <w:t>2</w:t>
            </w:r>
          </w:p>
        </w:tc>
        <w:tc>
          <w:tcPr>
            <w:tcW w:w="661" w:type="pct"/>
          </w:tcPr>
          <w:p w:rsidR="009E1950" w:rsidRPr="00D83C38" w:rsidRDefault="009E1950" w:rsidP="001129F5">
            <w:pPr>
              <w:pStyle w:val="CAR-TableText-Right"/>
            </w:pPr>
            <w:r w:rsidRPr="00D83C38">
              <w:t>2</w:t>
            </w:r>
          </w:p>
        </w:tc>
        <w:tc>
          <w:tcPr>
            <w:tcW w:w="661" w:type="pct"/>
          </w:tcPr>
          <w:p w:rsidR="009E1950" w:rsidRPr="00D83C38" w:rsidRDefault="009E1950" w:rsidP="001129F5">
            <w:pPr>
              <w:pStyle w:val="CAR-TableText-Right"/>
            </w:pPr>
            <w:r w:rsidRPr="00D83C38">
              <w:t>-</w:t>
            </w:r>
          </w:p>
        </w:tc>
        <w:tc>
          <w:tcPr>
            <w:tcW w:w="660" w:type="pct"/>
          </w:tcPr>
          <w:p w:rsidR="009E1950" w:rsidRPr="00D83C38" w:rsidRDefault="009E1950" w:rsidP="001129F5">
            <w:pPr>
              <w:pStyle w:val="CAR-TableText-Right"/>
            </w:pPr>
            <w:r w:rsidRPr="00D83C38">
              <w:t>-</w:t>
            </w:r>
          </w:p>
        </w:tc>
        <w:tc>
          <w:tcPr>
            <w:tcW w:w="660" w:type="pct"/>
          </w:tcPr>
          <w:p w:rsidR="009E1950" w:rsidRPr="00D83C38" w:rsidRDefault="009E1950" w:rsidP="001129F5">
            <w:pPr>
              <w:pStyle w:val="CAR-TableText-Right"/>
            </w:pPr>
            <w:r w:rsidRPr="00D83C38">
              <w:t>-</w:t>
            </w:r>
          </w:p>
        </w:tc>
      </w:tr>
      <w:tr w:rsidR="009E1950" w:rsidRPr="00D83C38">
        <w:tc>
          <w:tcPr>
            <w:tcW w:w="1697" w:type="pct"/>
          </w:tcPr>
          <w:p w:rsidR="009E1950" w:rsidRPr="00D83C38" w:rsidRDefault="009E1950" w:rsidP="001129F5">
            <w:pPr>
              <w:pStyle w:val="CAR-TableText-Left"/>
            </w:pPr>
            <w:r w:rsidRPr="00D83C38">
              <w:t>Admonition</w:t>
            </w:r>
          </w:p>
        </w:tc>
        <w:tc>
          <w:tcPr>
            <w:tcW w:w="661" w:type="pct"/>
          </w:tcPr>
          <w:p w:rsidR="009E1950" w:rsidRPr="00D83C38" w:rsidRDefault="009E1950" w:rsidP="001129F5">
            <w:pPr>
              <w:pStyle w:val="CAR-TableText-Right"/>
            </w:pPr>
            <w:r w:rsidRPr="00D83C38">
              <w:t>-</w:t>
            </w:r>
          </w:p>
        </w:tc>
        <w:tc>
          <w:tcPr>
            <w:tcW w:w="661" w:type="pct"/>
          </w:tcPr>
          <w:p w:rsidR="009E1950" w:rsidRPr="00D83C38" w:rsidRDefault="009E1950" w:rsidP="001129F5">
            <w:pPr>
              <w:pStyle w:val="CAR-TableText-Right"/>
            </w:pPr>
            <w:r w:rsidRPr="00D83C38">
              <w:t>-</w:t>
            </w:r>
          </w:p>
        </w:tc>
        <w:tc>
          <w:tcPr>
            <w:tcW w:w="661" w:type="pct"/>
          </w:tcPr>
          <w:p w:rsidR="009E1950" w:rsidRPr="00D83C38" w:rsidRDefault="009E1950" w:rsidP="001129F5">
            <w:pPr>
              <w:pStyle w:val="CAR-TableText-Right"/>
            </w:pPr>
            <w:r w:rsidRPr="00D83C38">
              <w:t>-</w:t>
            </w:r>
          </w:p>
        </w:tc>
        <w:tc>
          <w:tcPr>
            <w:tcW w:w="660" w:type="pct"/>
          </w:tcPr>
          <w:p w:rsidR="009E1950" w:rsidRPr="00D83C38" w:rsidRDefault="009E1950" w:rsidP="001129F5">
            <w:pPr>
              <w:pStyle w:val="CAR-TableText-Right"/>
            </w:pPr>
            <w:r w:rsidRPr="00D83C38">
              <w:t>-</w:t>
            </w:r>
          </w:p>
        </w:tc>
        <w:tc>
          <w:tcPr>
            <w:tcW w:w="660" w:type="pct"/>
          </w:tcPr>
          <w:p w:rsidR="009E1950" w:rsidRPr="00D83C38" w:rsidRDefault="009E1950" w:rsidP="001129F5">
            <w:pPr>
              <w:pStyle w:val="CAR-TableText-Right"/>
            </w:pPr>
            <w:r w:rsidRPr="00D83C38">
              <w:t>-</w:t>
            </w:r>
          </w:p>
        </w:tc>
      </w:tr>
      <w:tr w:rsidR="009E1950" w:rsidRPr="00D83C38">
        <w:tc>
          <w:tcPr>
            <w:tcW w:w="1697" w:type="pct"/>
          </w:tcPr>
          <w:p w:rsidR="009E1950" w:rsidRPr="00D83C38" w:rsidRDefault="009E1950" w:rsidP="001129F5">
            <w:pPr>
              <w:pStyle w:val="CAR-TableText-Left"/>
            </w:pPr>
            <w:r w:rsidRPr="00D83C38">
              <w:t>Reprimand</w:t>
            </w:r>
          </w:p>
        </w:tc>
        <w:tc>
          <w:tcPr>
            <w:tcW w:w="661" w:type="pct"/>
          </w:tcPr>
          <w:p w:rsidR="009E1950" w:rsidRPr="00D83C38" w:rsidRDefault="009E1950" w:rsidP="001129F5">
            <w:pPr>
              <w:pStyle w:val="CAR-TableText-Right"/>
            </w:pPr>
            <w:r w:rsidRPr="00D83C38">
              <w:t>-</w:t>
            </w:r>
          </w:p>
        </w:tc>
        <w:tc>
          <w:tcPr>
            <w:tcW w:w="661" w:type="pct"/>
          </w:tcPr>
          <w:p w:rsidR="009E1950" w:rsidRPr="00D83C38" w:rsidRDefault="009E1950" w:rsidP="001129F5">
            <w:pPr>
              <w:pStyle w:val="CAR-TableText-Right"/>
            </w:pPr>
            <w:r w:rsidRPr="00D83C38">
              <w:t>-</w:t>
            </w:r>
          </w:p>
        </w:tc>
        <w:tc>
          <w:tcPr>
            <w:tcW w:w="661" w:type="pct"/>
          </w:tcPr>
          <w:p w:rsidR="009E1950" w:rsidRPr="00D83C38" w:rsidRDefault="009E1950" w:rsidP="001129F5">
            <w:pPr>
              <w:pStyle w:val="CAR-TableText-Right"/>
            </w:pPr>
            <w:r w:rsidRPr="00D83C38">
              <w:t>-</w:t>
            </w:r>
          </w:p>
        </w:tc>
        <w:tc>
          <w:tcPr>
            <w:tcW w:w="660" w:type="pct"/>
          </w:tcPr>
          <w:p w:rsidR="009E1950" w:rsidRPr="00D83C38" w:rsidRDefault="009E1950" w:rsidP="001129F5">
            <w:pPr>
              <w:pStyle w:val="CAR-TableText-Right"/>
            </w:pPr>
            <w:r w:rsidRPr="00D83C38">
              <w:t>-</w:t>
            </w:r>
          </w:p>
        </w:tc>
        <w:tc>
          <w:tcPr>
            <w:tcW w:w="660" w:type="pct"/>
          </w:tcPr>
          <w:p w:rsidR="009E1950" w:rsidRPr="00D83C38" w:rsidRDefault="009E1950" w:rsidP="001129F5">
            <w:pPr>
              <w:pStyle w:val="CAR-TableText-Right"/>
            </w:pPr>
            <w:r w:rsidRPr="00D83C38">
              <w:t>-</w:t>
            </w:r>
          </w:p>
        </w:tc>
      </w:tr>
      <w:tr w:rsidR="009E1950" w:rsidRPr="00D83C38">
        <w:tc>
          <w:tcPr>
            <w:tcW w:w="1697" w:type="pct"/>
          </w:tcPr>
          <w:p w:rsidR="009E1950" w:rsidRPr="00D83C38" w:rsidRDefault="009E1950" w:rsidP="001129F5">
            <w:pPr>
              <w:pStyle w:val="CAR-TableText-Left"/>
            </w:pPr>
            <w:r w:rsidRPr="00D83C38">
              <w:t>Undertakings required to be given</w:t>
            </w:r>
          </w:p>
        </w:tc>
        <w:tc>
          <w:tcPr>
            <w:tcW w:w="661" w:type="pct"/>
          </w:tcPr>
          <w:p w:rsidR="009E1950" w:rsidRPr="00D83C38" w:rsidRDefault="009E1950" w:rsidP="001129F5">
            <w:pPr>
              <w:pStyle w:val="CAR-TableText-Right"/>
            </w:pPr>
            <w:r w:rsidRPr="00D83C38">
              <w:t>2</w:t>
            </w:r>
          </w:p>
        </w:tc>
        <w:tc>
          <w:tcPr>
            <w:tcW w:w="661" w:type="pct"/>
          </w:tcPr>
          <w:p w:rsidR="009E1950" w:rsidRPr="00D83C38" w:rsidRDefault="009E1950" w:rsidP="001129F5">
            <w:pPr>
              <w:pStyle w:val="CAR-TableText-Right"/>
            </w:pPr>
            <w:r w:rsidRPr="00D83C38">
              <w:t>2</w:t>
            </w:r>
          </w:p>
        </w:tc>
        <w:tc>
          <w:tcPr>
            <w:tcW w:w="661" w:type="pct"/>
          </w:tcPr>
          <w:p w:rsidR="009E1950" w:rsidRPr="00D83C38" w:rsidRDefault="009E1950" w:rsidP="001129F5">
            <w:pPr>
              <w:pStyle w:val="CAR-TableText-Right"/>
            </w:pPr>
            <w:r w:rsidRPr="00D83C38">
              <w:t>-</w:t>
            </w:r>
          </w:p>
        </w:tc>
        <w:tc>
          <w:tcPr>
            <w:tcW w:w="660" w:type="pct"/>
          </w:tcPr>
          <w:p w:rsidR="009E1950" w:rsidRPr="00D83C38" w:rsidRDefault="009E1950" w:rsidP="001129F5">
            <w:pPr>
              <w:pStyle w:val="CAR-TableText-Right"/>
            </w:pPr>
            <w:r w:rsidRPr="00D83C38">
              <w:t>-</w:t>
            </w:r>
          </w:p>
        </w:tc>
        <w:tc>
          <w:tcPr>
            <w:tcW w:w="660" w:type="pct"/>
          </w:tcPr>
          <w:p w:rsidR="009E1950" w:rsidRPr="00D83C38" w:rsidRDefault="009E1950" w:rsidP="001129F5">
            <w:pPr>
              <w:pStyle w:val="CAR-TableText-Right"/>
            </w:pPr>
            <w:r w:rsidRPr="00D83C38">
              <w:t>-</w:t>
            </w:r>
          </w:p>
        </w:tc>
      </w:tr>
      <w:tr w:rsidR="009E1950" w:rsidRPr="00D83C38">
        <w:tc>
          <w:tcPr>
            <w:tcW w:w="1697" w:type="pct"/>
          </w:tcPr>
          <w:p w:rsidR="009E1950" w:rsidRPr="00D83C38" w:rsidRDefault="009E1950" w:rsidP="001129F5">
            <w:pPr>
              <w:pStyle w:val="CAR-TableText-Left"/>
            </w:pPr>
            <w:r w:rsidRPr="00D83C38">
              <w:t>Dismissed</w:t>
            </w:r>
          </w:p>
        </w:tc>
        <w:tc>
          <w:tcPr>
            <w:tcW w:w="661" w:type="pct"/>
          </w:tcPr>
          <w:p w:rsidR="009E1950" w:rsidRPr="00D83C38" w:rsidRDefault="009E1950" w:rsidP="001129F5">
            <w:pPr>
              <w:pStyle w:val="CAR-TableText-Right"/>
            </w:pPr>
            <w:r w:rsidRPr="00D83C38">
              <w:t>1</w:t>
            </w:r>
          </w:p>
        </w:tc>
        <w:tc>
          <w:tcPr>
            <w:tcW w:w="661" w:type="pct"/>
          </w:tcPr>
          <w:p w:rsidR="009E1950" w:rsidRPr="00D83C38" w:rsidRDefault="009E1950" w:rsidP="001129F5">
            <w:pPr>
              <w:pStyle w:val="CAR-TableText-Right"/>
            </w:pPr>
            <w:r w:rsidRPr="00D83C38">
              <w:t>-</w:t>
            </w:r>
          </w:p>
        </w:tc>
        <w:tc>
          <w:tcPr>
            <w:tcW w:w="661" w:type="pct"/>
          </w:tcPr>
          <w:p w:rsidR="009E1950" w:rsidRPr="00D83C38" w:rsidRDefault="009E1950" w:rsidP="001129F5">
            <w:pPr>
              <w:pStyle w:val="CAR-TableText-Right"/>
            </w:pPr>
            <w:r w:rsidRPr="00D83C38">
              <w:t>-</w:t>
            </w:r>
          </w:p>
        </w:tc>
        <w:tc>
          <w:tcPr>
            <w:tcW w:w="660" w:type="pct"/>
          </w:tcPr>
          <w:p w:rsidR="009E1950" w:rsidRPr="00D83C38" w:rsidRDefault="009E1950" w:rsidP="001129F5">
            <w:pPr>
              <w:pStyle w:val="CAR-TableText-Right"/>
            </w:pPr>
            <w:r w:rsidRPr="00D83C38">
              <w:t>-</w:t>
            </w:r>
          </w:p>
        </w:tc>
        <w:tc>
          <w:tcPr>
            <w:tcW w:w="660" w:type="pct"/>
          </w:tcPr>
          <w:p w:rsidR="009E1950" w:rsidRPr="00D83C38" w:rsidRDefault="009E1950" w:rsidP="001129F5">
            <w:pPr>
              <w:pStyle w:val="CAR-TableText-Right"/>
            </w:pPr>
            <w:r w:rsidRPr="00D83C38">
              <w:t>-</w:t>
            </w:r>
          </w:p>
        </w:tc>
      </w:tr>
      <w:tr w:rsidR="009E1950" w:rsidRPr="00D83C38">
        <w:tc>
          <w:tcPr>
            <w:tcW w:w="1697" w:type="pct"/>
          </w:tcPr>
          <w:p w:rsidR="009E1950" w:rsidRPr="00D83C38" w:rsidRDefault="009E1950" w:rsidP="001129F5">
            <w:pPr>
              <w:pStyle w:val="CAR-TableText-Left"/>
            </w:pPr>
            <w:r w:rsidRPr="00D83C38">
              <w:t>Withdrawn by ASIC</w:t>
            </w:r>
          </w:p>
        </w:tc>
        <w:tc>
          <w:tcPr>
            <w:tcW w:w="661" w:type="pct"/>
          </w:tcPr>
          <w:p w:rsidR="009E1950" w:rsidRPr="00D83C38" w:rsidRDefault="009E1950" w:rsidP="001129F5">
            <w:pPr>
              <w:pStyle w:val="CAR-TableText-Right"/>
            </w:pPr>
            <w:r w:rsidRPr="00D83C38">
              <w:t>8</w:t>
            </w:r>
          </w:p>
        </w:tc>
        <w:tc>
          <w:tcPr>
            <w:tcW w:w="661" w:type="pct"/>
          </w:tcPr>
          <w:p w:rsidR="009E1950" w:rsidRPr="00D83C38" w:rsidRDefault="009E1950" w:rsidP="001129F5">
            <w:pPr>
              <w:pStyle w:val="CAR-TableText-Right"/>
            </w:pPr>
            <w:r w:rsidRPr="00D83C38">
              <w:t>-</w:t>
            </w:r>
          </w:p>
        </w:tc>
        <w:tc>
          <w:tcPr>
            <w:tcW w:w="661" w:type="pct"/>
          </w:tcPr>
          <w:p w:rsidR="009E1950" w:rsidRPr="00D83C38" w:rsidRDefault="009E1950" w:rsidP="001129F5">
            <w:pPr>
              <w:pStyle w:val="CAR-TableText-Right"/>
            </w:pPr>
            <w:r w:rsidRPr="00D83C38">
              <w:t>-</w:t>
            </w:r>
          </w:p>
        </w:tc>
        <w:tc>
          <w:tcPr>
            <w:tcW w:w="660" w:type="pct"/>
          </w:tcPr>
          <w:p w:rsidR="009E1950" w:rsidRPr="00D83C38" w:rsidRDefault="009E1950" w:rsidP="001129F5">
            <w:pPr>
              <w:pStyle w:val="CAR-TableText-Right"/>
            </w:pPr>
            <w:r w:rsidRPr="00D83C38">
              <w:t>-</w:t>
            </w:r>
          </w:p>
        </w:tc>
        <w:tc>
          <w:tcPr>
            <w:tcW w:w="660" w:type="pct"/>
          </w:tcPr>
          <w:p w:rsidR="009E1950" w:rsidRPr="00D83C38" w:rsidRDefault="009E1950" w:rsidP="001129F5">
            <w:pPr>
              <w:pStyle w:val="CAR-TableText-Right"/>
            </w:pPr>
            <w:r w:rsidRPr="00D83C38">
              <w:t>-</w:t>
            </w:r>
          </w:p>
        </w:tc>
      </w:tr>
    </w:tbl>
    <w:p w:rsidR="00306FBA" w:rsidRPr="00D83C38" w:rsidRDefault="00527FE1" w:rsidP="00136A06">
      <w:pPr>
        <w:pStyle w:val="CAR-Heading-1"/>
        <w:outlineLvl w:val="0"/>
      </w:pPr>
      <w:r>
        <w:t>CALDB</w:t>
      </w:r>
      <w:r w:rsidR="00B86035">
        <w:t xml:space="preserve"> procedures with respect to </w:t>
      </w:r>
      <w:r w:rsidR="004730DB">
        <w:t>a</w:t>
      </w:r>
      <w:r w:rsidR="00B86035">
        <w:t xml:space="preserve">pplications </w:t>
      </w:r>
    </w:p>
    <w:p w:rsidR="00306FBA" w:rsidRPr="00D83C38" w:rsidRDefault="00B86035">
      <w:pPr>
        <w:pStyle w:val="CAR-BodyText-Left"/>
      </w:pPr>
      <w:r>
        <w:t>As noted</w:t>
      </w:r>
      <w:r w:rsidR="00632678">
        <w:t xml:space="preserve"> above</w:t>
      </w:r>
      <w:r>
        <w:t>,</w:t>
      </w:r>
      <w:r w:rsidR="00632678">
        <w:t xml:space="preserve"> </w:t>
      </w:r>
      <w:r w:rsidR="00CE758F">
        <w:t>a</w:t>
      </w:r>
      <w:r w:rsidR="00306FBA" w:rsidRPr="00D83C38">
        <w:t xml:space="preserve">pplications to </w:t>
      </w:r>
      <w:r w:rsidR="00F30CAF">
        <w:t>CALDB</w:t>
      </w:r>
      <w:r w:rsidR="00306FBA" w:rsidRPr="00D83C38">
        <w:t xml:space="preserve"> may be made by either ASIC or APRA. </w:t>
      </w:r>
    </w:p>
    <w:p w:rsidR="00CE758F" w:rsidRDefault="00CE758F" w:rsidP="00360175">
      <w:pPr>
        <w:pStyle w:val="CAR-BodyText-Left"/>
        <w:rPr>
          <w:lang w:val="en-GB"/>
        </w:rPr>
      </w:pPr>
      <w:r>
        <w:rPr>
          <w:lang w:val="en-GB"/>
        </w:rPr>
        <w:t>P</w:t>
      </w:r>
      <w:r w:rsidR="00E324FD">
        <w:rPr>
          <w:lang w:val="en-GB"/>
        </w:rPr>
        <w:t>rovisions of the Corporations Act and ASIC Act</w:t>
      </w:r>
      <w:r>
        <w:rPr>
          <w:lang w:val="en-GB"/>
        </w:rPr>
        <w:t xml:space="preserve"> prescribe the </w:t>
      </w:r>
      <w:r w:rsidR="000131D7">
        <w:rPr>
          <w:lang w:val="en-GB"/>
        </w:rPr>
        <w:t>essential procedure</w:t>
      </w:r>
      <w:r w:rsidR="00511DDD">
        <w:rPr>
          <w:lang w:val="en-GB"/>
        </w:rPr>
        <w:t>s</w:t>
      </w:r>
      <w:r>
        <w:rPr>
          <w:lang w:val="en-GB"/>
        </w:rPr>
        <w:t>. These provide, importantly,</w:t>
      </w:r>
      <w:r w:rsidR="00B369E2">
        <w:rPr>
          <w:lang w:val="en-GB"/>
        </w:rPr>
        <w:t xml:space="preserve"> that </w:t>
      </w:r>
      <w:r w:rsidR="0039258B">
        <w:rPr>
          <w:lang w:val="en-GB"/>
        </w:rPr>
        <w:t>CALDB</w:t>
      </w:r>
      <w:r w:rsidR="00B369E2">
        <w:rPr>
          <w:lang w:val="en-GB"/>
        </w:rPr>
        <w:t xml:space="preserve"> is </w:t>
      </w:r>
      <w:r w:rsidR="000A12BC">
        <w:rPr>
          <w:lang w:val="en-GB"/>
        </w:rPr>
        <w:t>required to provide a responden</w:t>
      </w:r>
      <w:r w:rsidR="00B369E2">
        <w:rPr>
          <w:lang w:val="en-GB"/>
        </w:rPr>
        <w:t xml:space="preserve">t with the opportunity to appear at a hearing held by CALDB and to make submissions to and adduce evidence before </w:t>
      </w:r>
      <w:r w:rsidR="0039258B">
        <w:rPr>
          <w:lang w:val="en-GB"/>
        </w:rPr>
        <w:t>CALDB</w:t>
      </w:r>
      <w:r w:rsidR="00B369E2">
        <w:rPr>
          <w:lang w:val="en-GB"/>
        </w:rPr>
        <w:t xml:space="preserve"> in relation to a matter. </w:t>
      </w:r>
      <w:r>
        <w:rPr>
          <w:lang w:val="en-GB"/>
        </w:rPr>
        <w:t>H</w:t>
      </w:r>
      <w:r w:rsidR="00360175" w:rsidRPr="00D83C38">
        <w:rPr>
          <w:lang w:val="en-GB"/>
        </w:rPr>
        <w:t>earing</w:t>
      </w:r>
      <w:r>
        <w:rPr>
          <w:lang w:val="en-GB"/>
        </w:rPr>
        <w:t>s are</w:t>
      </w:r>
      <w:r w:rsidR="00360175" w:rsidRPr="00D83C38">
        <w:rPr>
          <w:lang w:val="en-GB"/>
        </w:rPr>
        <w:t xml:space="preserve"> conducted by a</w:t>
      </w:r>
      <w:r w:rsidR="00527FE1">
        <w:rPr>
          <w:lang w:val="en-GB"/>
        </w:rPr>
        <w:t xml:space="preserve"> </w:t>
      </w:r>
      <w:r w:rsidR="00F30CAF">
        <w:rPr>
          <w:lang w:val="en-GB"/>
        </w:rPr>
        <w:t>panel</w:t>
      </w:r>
      <w:r w:rsidR="00360175" w:rsidRPr="00D83C38">
        <w:rPr>
          <w:lang w:val="en-GB"/>
        </w:rPr>
        <w:t xml:space="preserve"> of </w:t>
      </w:r>
      <w:r w:rsidR="00F30CAF">
        <w:rPr>
          <w:lang w:val="en-GB"/>
        </w:rPr>
        <w:t>b</w:t>
      </w:r>
      <w:r w:rsidR="00F30CAF" w:rsidRPr="00D83C38">
        <w:rPr>
          <w:lang w:val="en-GB"/>
        </w:rPr>
        <w:t xml:space="preserve">oard </w:t>
      </w:r>
      <w:r w:rsidR="00360175" w:rsidRPr="00D83C38">
        <w:rPr>
          <w:lang w:val="en-GB"/>
        </w:rPr>
        <w:t>members</w:t>
      </w:r>
      <w:r>
        <w:rPr>
          <w:lang w:val="en-GB"/>
        </w:rPr>
        <w:t>.</w:t>
      </w:r>
    </w:p>
    <w:p w:rsidR="00CE758F" w:rsidRPr="00D83C38" w:rsidRDefault="00632678" w:rsidP="00CE758F">
      <w:pPr>
        <w:pStyle w:val="CAR-BodyText-Left"/>
      </w:pPr>
      <w:r>
        <w:t>More detailed p</w:t>
      </w:r>
      <w:r w:rsidR="00CE758F" w:rsidRPr="00D83C38">
        <w:t xml:space="preserve">rocedures adopted by </w:t>
      </w:r>
      <w:r w:rsidR="00CE758F">
        <w:t>CALDB</w:t>
      </w:r>
      <w:r w:rsidR="00CE758F" w:rsidRPr="00D83C38">
        <w:t xml:space="preserve"> are contained in its </w:t>
      </w:r>
      <w:r w:rsidR="00CE758F" w:rsidRPr="00D83C38">
        <w:rPr>
          <w:i/>
        </w:rPr>
        <w:t>Manuals of Practice and Procedure</w:t>
      </w:r>
      <w:r w:rsidR="00CE758F" w:rsidRPr="00D83C38">
        <w:t xml:space="preserve">. There </w:t>
      </w:r>
      <w:r w:rsidR="00CE758F">
        <w:t>is a</w:t>
      </w:r>
      <w:r w:rsidR="00CE758F" w:rsidRPr="00D83C38">
        <w:t xml:space="preserve"> manual</w:t>
      </w:r>
      <w:r w:rsidR="00CE758F">
        <w:t xml:space="preserve"> for conduct matters and a manual</w:t>
      </w:r>
      <w:r w:rsidR="00CE758F" w:rsidRPr="00D83C38">
        <w:t xml:space="preserve"> for administrative matters. The manuals set out procedures to be followed in relation to the filing and exchange of documents and other material prior to a hearing and the procedures for pre</w:t>
      </w:r>
      <w:r w:rsidR="00CE758F" w:rsidRPr="00D83C38">
        <w:noBreakHyphen/>
        <w:t xml:space="preserve">hearing conferences and for hearings. </w:t>
      </w:r>
      <w:r w:rsidR="00CE758F">
        <w:t>CALDB</w:t>
      </w:r>
      <w:r w:rsidR="00CE758F" w:rsidRPr="00D83C38">
        <w:t xml:space="preserve"> has also issued a Costs Practice Note and Mediation Guidelines and a pro forma Mediation Agreement. </w:t>
      </w:r>
    </w:p>
    <w:p w:rsidR="00CE758F" w:rsidRDefault="00CE758F" w:rsidP="00CE758F">
      <w:pPr>
        <w:pStyle w:val="CAR-BodyText-Left"/>
      </w:pPr>
      <w:r w:rsidRPr="00D83C38">
        <w:t xml:space="preserve">The Manuals of Practice and Procedure, the Costs Practice Note, the Mediation Guidelines and the draft Mediation Agreement are provided to all parties involved in proceedings before </w:t>
      </w:r>
      <w:r>
        <w:t>CALDB</w:t>
      </w:r>
      <w:r w:rsidRPr="00D83C38">
        <w:t xml:space="preserve">. </w:t>
      </w:r>
      <w:r>
        <w:t>T</w:t>
      </w:r>
      <w:r w:rsidRPr="00D83C38">
        <w:t xml:space="preserve">hese documents are available on the </w:t>
      </w:r>
      <w:r>
        <w:t xml:space="preserve">CALDB </w:t>
      </w:r>
      <w:r w:rsidRPr="00D83C38">
        <w:t>website</w:t>
      </w:r>
      <w:r>
        <w:t xml:space="preserve"> and are </w:t>
      </w:r>
      <w:r w:rsidRPr="00D83C38">
        <w:t>reviewed</w:t>
      </w:r>
      <w:r>
        <w:t xml:space="preserve"> and updated from time to time.</w:t>
      </w:r>
    </w:p>
    <w:p w:rsidR="00306FBA" w:rsidRPr="00D83C38" w:rsidRDefault="00F30CAF">
      <w:pPr>
        <w:pStyle w:val="CAR-BodyText-Left"/>
      </w:pPr>
      <w:r>
        <w:t>CALDB</w:t>
      </w:r>
      <w:r w:rsidR="00306FBA" w:rsidRPr="00D83C38">
        <w:t xml:space="preserve"> categorises the matters brought before it as </w:t>
      </w:r>
      <w:r w:rsidR="00306FBA" w:rsidRPr="00D83C38">
        <w:rPr>
          <w:b/>
          <w:bCs/>
          <w:i/>
        </w:rPr>
        <w:t>administrative matters</w:t>
      </w:r>
      <w:r w:rsidR="00306FBA" w:rsidRPr="00D83C38">
        <w:t xml:space="preserve"> or </w:t>
      </w:r>
      <w:r w:rsidR="00306FBA" w:rsidRPr="00D83C38">
        <w:rPr>
          <w:b/>
          <w:bCs/>
          <w:i/>
        </w:rPr>
        <w:t>conduct matters</w:t>
      </w:r>
      <w:r w:rsidR="00306FBA" w:rsidRPr="00D83C38">
        <w:t xml:space="preserve">. The categorisation has been adopted by </w:t>
      </w:r>
      <w:r>
        <w:t>CALDB</w:t>
      </w:r>
      <w:r w:rsidR="00306FBA" w:rsidRPr="00D83C38">
        <w:t xml:space="preserve"> as a procedural policy and will be reviewed from time to time.</w:t>
      </w:r>
      <w:r w:rsidR="00DD7DC7">
        <w:t xml:space="preserve"> In general terms, administrative matters involve less complexity and are less time consuming than conduct matters. </w:t>
      </w:r>
    </w:p>
    <w:p w:rsidR="00306FBA" w:rsidRPr="00D83C38" w:rsidRDefault="00F30CAF">
      <w:pPr>
        <w:pStyle w:val="CAR-BodyText-Left"/>
      </w:pPr>
      <w:r>
        <w:t>CALDB</w:t>
      </w:r>
      <w:r w:rsidR="00306FBA" w:rsidRPr="00D83C38">
        <w:t xml:space="preserve"> categorises as administrative matters those matters </w:t>
      </w:r>
      <w:r>
        <w:t>that</w:t>
      </w:r>
      <w:r w:rsidRPr="00D83C38">
        <w:t xml:space="preserve"> </w:t>
      </w:r>
      <w:r w:rsidR="00306FBA" w:rsidRPr="00D83C38">
        <w:t>arise from applications pursuant to the following provisions of the Corporations Act:</w:t>
      </w:r>
    </w:p>
    <w:tbl>
      <w:tblPr>
        <w:tblW w:w="7711" w:type="dxa"/>
        <w:tblInd w:w="108" w:type="dxa"/>
        <w:tblBorders>
          <w:top w:val="single" w:sz="2" w:space="0" w:color="000080"/>
          <w:bottom w:val="single" w:sz="2" w:space="0" w:color="000080"/>
          <w:insideH w:val="single" w:sz="2" w:space="0" w:color="000080"/>
        </w:tblBorders>
        <w:tblLook w:val="01E0"/>
      </w:tblPr>
      <w:tblGrid>
        <w:gridCol w:w="1766"/>
        <w:gridCol w:w="5945"/>
      </w:tblGrid>
      <w:tr w:rsidR="00306FBA" w:rsidRPr="00D83C38">
        <w:tc>
          <w:tcPr>
            <w:tcW w:w="1788" w:type="dxa"/>
            <w:shd w:val="clear" w:color="auto" w:fill="D5D5FF"/>
          </w:tcPr>
          <w:p w:rsidR="00306FBA" w:rsidRPr="00D83C38" w:rsidRDefault="00306FBA">
            <w:pPr>
              <w:pStyle w:val="CAR-TableText-Left"/>
            </w:pPr>
            <w:r w:rsidRPr="00D83C38">
              <w:t>subparagraph 1292(1)(a)(</w:t>
            </w:r>
            <w:proofErr w:type="spellStart"/>
            <w:r w:rsidRPr="00D83C38">
              <w:t>i</w:t>
            </w:r>
            <w:proofErr w:type="spellEnd"/>
            <w:r w:rsidRPr="00D83C38">
              <w:t>)</w:t>
            </w:r>
          </w:p>
        </w:tc>
        <w:tc>
          <w:tcPr>
            <w:tcW w:w="6138" w:type="dxa"/>
            <w:shd w:val="clear" w:color="auto" w:fill="D5D5FF"/>
          </w:tcPr>
          <w:p w:rsidR="00306FBA" w:rsidRPr="00D83C38" w:rsidRDefault="00306FBA">
            <w:pPr>
              <w:pStyle w:val="CAR-TableText-Left"/>
            </w:pPr>
            <w:r w:rsidRPr="00D83C38">
              <w:t>failing to lodge annual statement under section 1287A (auditor)</w:t>
            </w:r>
          </w:p>
        </w:tc>
      </w:tr>
      <w:tr w:rsidR="00306FBA" w:rsidRPr="00D83C38">
        <w:tc>
          <w:tcPr>
            <w:tcW w:w="1788" w:type="dxa"/>
          </w:tcPr>
          <w:p w:rsidR="00306FBA" w:rsidRPr="00D83C38" w:rsidRDefault="00306FBA">
            <w:pPr>
              <w:pStyle w:val="CAR-TableText-Left"/>
            </w:pPr>
            <w:r w:rsidRPr="00D83C38">
              <w:t>subparagraph 1292(1)(a)(ii)</w:t>
            </w:r>
          </w:p>
        </w:tc>
        <w:tc>
          <w:tcPr>
            <w:tcW w:w="6138" w:type="dxa"/>
          </w:tcPr>
          <w:p w:rsidR="00306FBA" w:rsidRPr="00D83C38" w:rsidRDefault="00306FBA">
            <w:pPr>
              <w:pStyle w:val="CAR-TableText-Left"/>
            </w:pPr>
            <w:r w:rsidRPr="00D83C38">
              <w:t>ceasing to be resident in Australia (auditor)</w:t>
            </w:r>
          </w:p>
        </w:tc>
      </w:tr>
      <w:tr w:rsidR="00306FBA" w:rsidRPr="00D83C38">
        <w:tc>
          <w:tcPr>
            <w:tcW w:w="1788" w:type="dxa"/>
            <w:shd w:val="clear" w:color="auto" w:fill="D5D5FF"/>
          </w:tcPr>
          <w:p w:rsidR="00306FBA" w:rsidRPr="00D83C38" w:rsidRDefault="00306FBA">
            <w:pPr>
              <w:pStyle w:val="CAR-TableText-Left"/>
            </w:pPr>
            <w:r w:rsidRPr="00D83C38">
              <w:t>subparagraph 1292(2)(a)(</w:t>
            </w:r>
            <w:proofErr w:type="spellStart"/>
            <w:r w:rsidRPr="00D83C38">
              <w:t>i</w:t>
            </w:r>
            <w:proofErr w:type="spellEnd"/>
            <w:r w:rsidRPr="00D83C38">
              <w:t>)</w:t>
            </w:r>
          </w:p>
        </w:tc>
        <w:tc>
          <w:tcPr>
            <w:tcW w:w="6138" w:type="dxa"/>
            <w:shd w:val="clear" w:color="auto" w:fill="D5D5FF"/>
          </w:tcPr>
          <w:p w:rsidR="00306FBA" w:rsidRPr="00D83C38" w:rsidRDefault="00306FBA">
            <w:pPr>
              <w:pStyle w:val="CAR-TableText-Left"/>
            </w:pPr>
            <w:r w:rsidRPr="00D83C38">
              <w:t>failing to lodge annual statement under section 1288 (liquidator)</w:t>
            </w:r>
          </w:p>
        </w:tc>
      </w:tr>
      <w:tr w:rsidR="00306FBA" w:rsidRPr="00D83C38">
        <w:tc>
          <w:tcPr>
            <w:tcW w:w="1788" w:type="dxa"/>
          </w:tcPr>
          <w:p w:rsidR="00306FBA" w:rsidRPr="00D83C38" w:rsidRDefault="00306FBA" w:rsidP="007B2692">
            <w:pPr>
              <w:pStyle w:val="CAR-TableText-Left"/>
            </w:pPr>
            <w:r w:rsidRPr="00D83C38">
              <w:t>subparagraph 1292(2)(a)(ii)</w:t>
            </w:r>
          </w:p>
        </w:tc>
        <w:tc>
          <w:tcPr>
            <w:tcW w:w="6138" w:type="dxa"/>
          </w:tcPr>
          <w:p w:rsidR="00306FBA" w:rsidRPr="00D83C38" w:rsidRDefault="00306FBA">
            <w:pPr>
              <w:pStyle w:val="CAR-TableText-Left"/>
              <w:pageBreakBefore/>
            </w:pPr>
            <w:r w:rsidRPr="00D83C38">
              <w:t>ceasing to be resident in Australia (liquidator)</w:t>
            </w:r>
          </w:p>
        </w:tc>
      </w:tr>
      <w:tr w:rsidR="00306FBA" w:rsidRPr="00D83C38">
        <w:tc>
          <w:tcPr>
            <w:tcW w:w="1788" w:type="dxa"/>
            <w:shd w:val="clear" w:color="auto" w:fill="D5D5FF"/>
          </w:tcPr>
          <w:p w:rsidR="00306FBA" w:rsidRPr="00D83C38" w:rsidRDefault="00306FBA">
            <w:pPr>
              <w:pStyle w:val="CAR-TableText-Left"/>
            </w:pPr>
            <w:r w:rsidRPr="00D83C38">
              <w:t>subparagraph 1292(3)(a)(</w:t>
            </w:r>
            <w:proofErr w:type="spellStart"/>
            <w:r w:rsidRPr="00D83C38">
              <w:t>i</w:t>
            </w:r>
            <w:proofErr w:type="spellEnd"/>
            <w:r w:rsidRPr="00D83C38">
              <w:t>)</w:t>
            </w:r>
          </w:p>
        </w:tc>
        <w:tc>
          <w:tcPr>
            <w:tcW w:w="6138" w:type="dxa"/>
            <w:shd w:val="clear" w:color="auto" w:fill="D5D5FF"/>
          </w:tcPr>
          <w:p w:rsidR="00306FBA" w:rsidRPr="00D83C38" w:rsidRDefault="00306FBA">
            <w:pPr>
              <w:pStyle w:val="CAR-TableText-Left"/>
            </w:pPr>
            <w:r w:rsidRPr="00D83C38">
              <w:t>failing to lodge a statement under section 1288(5) (liquidator of a specified body corporate)</w:t>
            </w:r>
          </w:p>
        </w:tc>
      </w:tr>
      <w:tr w:rsidR="00306FBA" w:rsidRPr="00D83C38">
        <w:tc>
          <w:tcPr>
            <w:tcW w:w="1788" w:type="dxa"/>
          </w:tcPr>
          <w:p w:rsidR="00306FBA" w:rsidRPr="00D83C38" w:rsidRDefault="00306FBA">
            <w:pPr>
              <w:pStyle w:val="CAR-TableText-Left"/>
            </w:pPr>
            <w:r w:rsidRPr="00D83C38">
              <w:t>subparagraph 1292(3)(a)(ii)</w:t>
            </w:r>
          </w:p>
        </w:tc>
        <w:tc>
          <w:tcPr>
            <w:tcW w:w="6138" w:type="dxa"/>
          </w:tcPr>
          <w:p w:rsidR="00306FBA" w:rsidRPr="00D83C38" w:rsidRDefault="00306FBA">
            <w:pPr>
              <w:pStyle w:val="CAR-TableText-Left"/>
            </w:pPr>
            <w:r w:rsidRPr="00D83C38">
              <w:t>ceasing to be resident in Australia (liquidator of a specified body corporate)</w:t>
            </w:r>
          </w:p>
        </w:tc>
      </w:tr>
      <w:tr w:rsidR="00306FBA" w:rsidRPr="00D83C38">
        <w:tc>
          <w:tcPr>
            <w:tcW w:w="1788" w:type="dxa"/>
            <w:shd w:val="clear" w:color="auto" w:fill="D5D5FF"/>
          </w:tcPr>
          <w:p w:rsidR="00306FBA" w:rsidRPr="00D83C38" w:rsidRDefault="00306FBA">
            <w:pPr>
              <w:pStyle w:val="CAR-TableText-Left"/>
            </w:pPr>
            <w:r w:rsidRPr="00D83C38">
              <w:t>paragraph 1292(7)(a)</w:t>
            </w:r>
          </w:p>
        </w:tc>
        <w:tc>
          <w:tcPr>
            <w:tcW w:w="6138" w:type="dxa"/>
            <w:shd w:val="clear" w:color="auto" w:fill="D5D5FF"/>
          </w:tcPr>
          <w:p w:rsidR="00306FBA" w:rsidRPr="00D83C38" w:rsidRDefault="00306FBA">
            <w:pPr>
              <w:pStyle w:val="CAR-TableText-Left"/>
            </w:pPr>
            <w:r w:rsidRPr="00D83C38">
              <w:t>becoming disqualified from managing corporations under Part 2D.6 (auditor or liquidator)</w:t>
            </w:r>
          </w:p>
        </w:tc>
      </w:tr>
      <w:tr w:rsidR="00306FBA" w:rsidRPr="00D83C38">
        <w:tc>
          <w:tcPr>
            <w:tcW w:w="1788" w:type="dxa"/>
          </w:tcPr>
          <w:p w:rsidR="00306FBA" w:rsidRPr="00D83C38" w:rsidRDefault="00306FBA">
            <w:pPr>
              <w:pStyle w:val="CAR-TableText-Left"/>
            </w:pPr>
            <w:r w:rsidRPr="00D83C38">
              <w:t>paragraph 1292(7)(b)</w:t>
            </w:r>
          </w:p>
        </w:tc>
        <w:tc>
          <w:tcPr>
            <w:tcW w:w="6138" w:type="dxa"/>
          </w:tcPr>
          <w:p w:rsidR="00306FBA" w:rsidRPr="00D83C38" w:rsidRDefault="00306FBA">
            <w:pPr>
              <w:pStyle w:val="CAR-TableText-Left"/>
            </w:pPr>
            <w:r w:rsidRPr="00D83C38">
              <w:t>becoming incapable because of mental infirmity of managing affairs (auditor or liquidator)</w:t>
            </w:r>
          </w:p>
        </w:tc>
      </w:tr>
    </w:tbl>
    <w:p w:rsidR="00306FBA" w:rsidRPr="00D83C38" w:rsidRDefault="00306FBA">
      <w:pPr>
        <w:pStyle w:val="SingleParagraph"/>
      </w:pPr>
    </w:p>
    <w:p w:rsidR="00306FBA" w:rsidRPr="00D83C38" w:rsidRDefault="00F30CAF">
      <w:pPr>
        <w:pStyle w:val="CAR-BodyText-Left"/>
      </w:pPr>
      <w:r>
        <w:t>CALDB</w:t>
      </w:r>
      <w:r w:rsidR="00306FBA" w:rsidRPr="00D83C38">
        <w:t xml:space="preserve"> categorises as conduct matters those matters which arise from applications pursuant to the following provisions of the Corporations Act:</w:t>
      </w:r>
    </w:p>
    <w:tbl>
      <w:tblPr>
        <w:tblW w:w="7711" w:type="dxa"/>
        <w:tblInd w:w="108" w:type="dxa"/>
        <w:tblBorders>
          <w:top w:val="single" w:sz="2" w:space="0" w:color="000080"/>
          <w:bottom w:val="single" w:sz="2" w:space="0" w:color="000080"/>
          <w:insideH w:val="single" w:sz="2" w:space="0" w:color="000080"/>
        </w:tblBorders>
        <w:tblLook w:val="01E0"/>
      </w:tblPr>
      <w:tblGrid>
        <w:gridCol w:w="1766"/>
        <w:gridCol w:w="5945"/>
      </w:tblGrid>
      <w:tr w:rsidR="00306FBA" w:rsidRPr="00D83C38">
        <w:tc>
          <w:tcPr>
            <w:tcW w:w="1788" w:type="dxa"/>
            <w:shd w:val="clear" w:color="auto" w:fill="D5D5FF"/>
          </w:tcPr>
          <w:p w:rsidR="00306FBA" w:rsidRPr="00D83C38" w:rsidRDefault="00306FBA">
            <w:pPr>
              <w:pStyle w:val="CAR-TableText-Left"/>
            </w:pPr>
            <w:r w:rsidRPr="00D83C38">
              <w:t>subparagraph 1292(1)(a)(</w:t>
            </w:r>
            <w:proofErr w:type="spellStart"/>
            <w:r w:rsidRPr="00D83C38">
              <w:t>ia</w:t>
            </w:r>
            <w:proofErr w:type="spellEnd"/>
            <w:r w:rsidRPr="00D83C38">
              <w:t>)</w:t>
            </w:r>
          </w:p>
        </w:tc>
        <w:tc>
          <w:tcPr>
            <w:tcW w:w="6138" w:type="dxa"/>
            <w:shd w:val="clear" w:color="auto" w:fill="D5D5FF"/>
          </w:tcPr>
          <w:p w:rsidR="00306FBA" w:rsidRPr="00D83C38" w:rsidRDefault="00306FBA">
            <w:pPr>
              <w:pStyle w:val="CAR-TableText-Left"/>
            </w:pPr>
            <w:r w:rsidRPr="00D83C38">
              <w:t>contravening section 324DB by playing a significant role in an audit without being eligible to do so (auditor)</w:t>
            </w:r>
          </w:p>
        </w:tc>
      </w:tr>
      <w:tr w:rsidR="00306FBA" w:rsidRPr="00D83C38">
        <w:tc>
          <w:tcPr>
            <w:tcW w:w="1788" w:type="dxa"/>
          </w:tcPr>
          <w:p w:rsidR="00306FBA" w:rsidRPr="00D83C38" w:rsidRDefault="00306FBA">
            <w:pPr>
              <w:pStyle w:val="CAR-TableText-Left"/>
            </w:pPr>
            <w:r w:rsidRPr="00D83C38">
              <w:t>subparagraph 1292(1)(a)(</w:t>
            </w:r>
            <w:proofErr w:type="spellStart"/>
            <w:r w:rsidRPr="00D83C38">
              <w:t>ia</w:t>
            </w:r>
            <w:proofErr w:type="spellEnd"/>
            <w:r w:rsidRPr="00D83C38">
              <w:t>)</w:t>
            </w:r>
          </w:p>
        </w:tc>
        <w:tc>
          <w:tcPr>
            <w:tcW w:w="6138" w:type="dxa"/>
          </w:tcPr>
          <w:p w:rsidR="00306FBA" w:rsidRPr="00D83C38" w:rsidRDefault="00306FBA">
            <w:pPr>
              <w:pStyle w:val="CAR-TableText-Left"/>
            </w:pPr>
            <w:r w:rsidRPr="00D83C38">
              <w:t>failing to comply with a condition of registration (auditor)</w:t>
            </w:r>
          </w:p>
        </w:tc>
      </w:tr>
      <w:tr w:rsidR="00306FBA" w:rsidRPr="00D83C38">
        <w:tc>
          <w:tcPr>
            <w:tcW w:w="1788" w:type="dxa"/>
            <w:shd w:val="clear" w:color="auto" w:fill="D5D5FF"/>
          </w:tcPr>
          <w:p w:rsidR="00306FBA" w:rsidRPr="00D83C38" w:rsidRDefault="00306FBA">
            <w:pPr>
              <w:pStyle w:val="CAR-TableText-Left"/>
            </w:pPr>
            <w:r w:rsidRPr="00D83C38">
              <w:t>subparagraph 1292(1)(b)(</w:t>
            </w:r>
            <w:proofErr w:type="spellStart"/>
            <w:r w:rsidRPr="00D83C38">
              <w:t>i</w:t>
            </w:r>
            <w:proofErr w:type="spellEnd"/>
            <w:r w:rsidRPr="00D83C38">
              <w:t>)</w:t>
            </w:r>
          </w:p>
        </w:tc>
        <w:tc>
          <w:tcPr>
            <w:tcW w:w="6138" w:type="dxa"/>
            <w:shd w:val="clear" w:color="auto" w:fill="D5D5FF"/>
          </w:tcPr>
          <w:p w:rsidR="00306FBA" w:rsidRPr="00D83C38" w:rsidRDefault="00306FBA">
            <w:pPr>
              <w:pStyle w:val="CAR-TableText-Left"/>
            </w:pPr>
            <w:r w:rsidRPr="00D83C38">
              <w:t>not performing any audit work for five years and as a result ceasing to have the necessary practical experience (auditor)</w:t>
            </w:r>
          </w:p>
        </w:tc>
      </w:tr>
      <w:tr w:rsidR="00306FBA" w:rsidRPr="00D83C38">
        <w:tc>
          <w:tcPr>
            <w:tcW w:w="1788" w:type="dxa"/>
          </w:tcPr>
          <w:p w:rsidR="00306FBA" w:rsidRPr="00D83C38" w:rsidRDefault="00306FBA">
            <w:pPr>
              <w:pStyle w:val="CAR-TableText-Left"/>
            </w:pPr>
            <w:r w:rsidRPr="00D83C38">
              <w:t>subparagraph 1292(1)(b)(ii)</w:t>
            </w:r>
          </w:p>
        </w:tc>
        <w:tc>
          <w:tcPr>
            <w:tcW w:w="6138" w:type="dxa"/>
          </w:tcPr>
          <w:p w:rsidR="00306FBA" w:rsidRPr="00D83C38" w:rsidRDefault="00306FBA">
            <w:pPr>
              <w:pStyle w:val="CAR-TableText-Left"/>
            </w:pPr>
            <w:r w:rsidRPr="00D83C38">
              <w:t>not performing any significant audit work for five years and as a result ceasing to have the necessary practical experience (auditor)</w:t>
            </w:r>
          </w:p>
        </w:tc>
      </w:tr>
      <w:tr w:rsidR="00306FBA" w:rsidRPr="00D83C38">
        <w:tc>
          <w:tcPr>
            <w:tcW w:w="1788" w:type="dxa"/>
            <w:shd w:val="clear" w:color="auto" w:fill="D5D5FF"/>
          </w:tcPr>
          <w:p w:rsidR="00306FBA" w:rsidRPr="00D83C38" w:rsidRDefault="00306FBA">
            <w:pPr>
              <w:pStyle w:val="CAR-TableText-Left"/>
            </w:pPr>
            <w:r w:rsidRPr="00D83C38">
              <w:t>subparagraph 1292(1)(d)(</w:t>
            </w:r>
            <w:proofErr w:type="spellStart"/>
            <w:r w:rsidRPr="00D83C38">
              <w:t>i</w:t>
            </w:r>
            <w:proofErr w:type="spellEnd"/>
            <w:r w:rsidRPr="00D83C38">
              <w:t>)</w:t>
            </w:r>
          </w:p>
        </w:tc>
        <w:tc>
          <w:tcPr>
            <w:tcW w:w="6138" w:type="dxa"/>
            <w:shd w:val="clear" w:color="auto" w:fill="D5D5FF"/>
          </w:tcPr>
          <w:p w:rsidR="00306FBA" w:rsidRPr="00D83C38" w:rsidRDefault="00306FBA">
            <w:pPr>
              <w:pStyle w:val="CAR-TableText-Left"/>
            </w:pPr>
            <w:r w:rsidRPr="00D83C38">
              <w:t>failing to carry out the duties of an auditor (auditor)</w:t>
            </w:r>
          </w:p>
        </w:tc>
      </w:tr>
      <w:tr w:rsidR="00306FBA" w:rsidRPr="00D83C38">
        <w:tc>
          <w:tcPr>
            <w:tcW w:w="1788" w:type="dxa"/>
          </w:tcPr>
          <w:p w:rsidR="00306FBA" w:rsidRPr="00D83C38" w:rsidRDefault="00306FBA">
            <w:pPr>
              <w:pStyle w:val="CAR-TableText-Left"/>
            </w:pPr>
            <w:r w:rsidRPr="00D83C38">
              <w:t>subparagraph 1292(1)(d)(ii)</w:t>
            </w:r>
          </w:p>
        </w:tc>
        <w:tc>
          <w:tcPr>
            <w:tcW w:w="6138" w:type="dxa"/>
          </w:tcPr>
          <w:p w:rsidR="00306FBA" w:rsidRPr="00D83C38" w:rsidRDefault="00306FBA">
            <w:pPr>
              <w:pStyle w:val="CAR-TableText-Left"/>
            </w:pPr>
            <w:r w:rsidRPr="00D83C38">
              <w:t>failing to carry out any duties or functions required by an Australian law to be carried out by a registered auditor (auditor)</w:t>
            </w:r>
          </w:p>
        </w:tc>
      </w:tr>
      <w:tr w:rsidR="00306FBA" w:rsidRPr="00D83C38">
        <w:tc>
          <w:tcPr>
            <w:tcW w:w="1788" w:type="dxa"/>
            <w:shd w:val="clear" w:color="auto" w:fill="D5D5FF"/>
          </w:tcPr>
          <w:p w:rsidR="00306FBA" w:rsidRPr="00D83C38" w:rsidRDefault="00306FBA">
            <w:pPr>
              <w:pStyle w:val="CAR-TableText-Left"/>
            </w:pPr>
            <w:r w:rsidRPr="00D83C38">
              <w:t>paragraph 1292(1)(d)</w:t>
            </w:r>
          </w:p>
        </w:tc>
        <w:tc>
          <w:tcPr>
            <w:tcW w:w="6138" w:type="dxa"/>
            <w:shd w:val="clear" w:color="auto" w:fill="D5D5FF"/>
          </w:tcPr>
          <w:p w:rsidR="00306FBA" w:rsidRPr="00D83C38" w:rsidRDefault="00306FBA">
            <w:pPr>
              <w:pStyle w:val="CAR-TableText-Left"/>
            </w:pPr>
            <w:r w:rsidRPr="00D83C38">
              <w:t>not being a fit and proper person to remain registered as an auditor (auditor)</w:t>
            </w:r>
          </w:p>
        </w:tc>
      </w:tr>
      <w:tr w:rsidR="00306FBA" w:rsidRPr="00D83C38">
        <w:tc>
          <w:tcPr>
            <w:tcW w:w="1788" w:type="dxa"/>
          </w:tcPr>
          <w:p w:rsidR="00306FBA" w:rsidRPr="00D83C38" w:rsidRDefault="00306FBA">
            <w:pPr>
              <w:pStyle w:val="CAR-TableText-Left"/>
            </w:pPr>
            <w:r w:rsidRPr="00D83C38">
              <w:t>subparagraph 1292(2)(d)(</w:t>
            </w:r>
            <w:proofErr w:type="spellStart"/>
            <w:r w:rsidRPr="00D83C38">
              <w:t>i</w:t>
            </w:r>
            <w:proofErr w:type="spellEnd"/>
            <w:r w:rsidRPr="00D83C38">
              <w:t>)</w:t>
            </w:r>
          </w:p>
        </w:tc>
        <w:tc>
          <w:tcPr>
            <w:tcW w:w="6138" w:type="dxa"/>
          </w:tcPr>
          <w:p w:rsidR="00306FBA" w:rsidRPr="00D83C38" w:rsidRDefault="00306FBA">
            <w:pPr>
              <w:pStyle w:val="CAR-TableText-Left"/>
            </w:pPr>
            <w:r w:rsidRPr="00D83C38">
              <w:t>failing to carry out the duties of a liquidator (liquidator)</w:t>
            </w:r>
          </w:p>
        </w:tc>
      </w:tr>
      <w:tr w:rsidR="00306FBA" w:rsidRPr="00D83C38">
        <w:tc>
          <w:tcPr>
            <w:tcW w:w="1788" w:type="dxa"/>
            <w:shd w:val="clear" w:color="auto" w:fill="D5D5FF"/>
          </w:tcPr>
          <w:p w:rsidR="00306FBA" w:rsidRPr="00D83C38" w:rsidRDefault="00306FBA">
            <w:pPr>
              <w:pStyle w:val="CAR-TableText-Left"/>
            </w:pPr>
            <w:r w:rsidRPr="00D83C38">
              <w:t>subparagraph 1292(2)(d)(ii)</w:t>
            </w:r>
          </w:p>
        </w:tc>
        <w:tc>
          <w:tcPr>
            <w:tcW w:w="6138" w:type="dxa"/>
            <w:shd w:val="clear" w:color="auto" w:fill="D5D5FF"/>
          </w:tcPr>
          <w:p w:rsidR="00306FBA" w:rsidRPr="00D83C38" w:rsidRDefault="00306FBA">
            <w:pPr>
              <w:pStyle w:val="CAR-TableText-Left"/>
            </w:pPr>
            <w:r w:rsidRPr="00D83C38">
              <w:t>failing to carry out any duties or functions required by an Australian law to be carried out by a registered liquidator (liquidator)</w:t>
            </w:r>
          </w:p>
        </w:tc>
      </w:tr>
      <w:tr w:rsidR="00306FBA" w:rsidRPr="00D83C38">
        <w:tc>
          <w:tcPr>
            <w:tcW w:w="1788" w:type="dxa"/>
          </w:tcPr>
          <w:p w:rsidR="00306FBA" w:rsidRPr="00D83C38" w:rsidRDefault="00306FBA">
            <w:pPr>
              <w:pStyle w:val="CAR-TableText-Left"/>
            </w:pPr>
            <w:r w:rsidRPr="00D83C38">
              <w:t>paragraph 1292(2)(d)</w:t>
            </w:r>
          </w:p>
        </w:tc>
        <w:tc>
          <w:tcPr>
            <w:tcW w:w="6138" w:type="dxa"/>
          </w:tcPr>
          <w:p w:rsidR="00306FBA" w:rsidRPr="00D83C38" w:rsidRDefault="00306FBA">
            <w:pPr>
              <w:pStyle w:val="CAR-TableText-Left"/>
            </w:pPr>
            <w:r w:rsidRPr="00D83C38">
              <w:t>not being a fit and proper person to remain registered as a liquidator (liquidator)</w:t>
            </w:r>
          </w:p>
        </w:tc>
      </w:tr>
      <w:tr w:rsidR="00306FBA" w:rsidRPr="00D83C38">
        <w:tc>
          <w:tcPr>
            <w:tcW w:w="1788" w:type="dxa"/>
            <w:shd w:val="clear" w:color="auto" w:fill="D5D5FF"/>
          </w:tcPr>
          <w:p w:rsidR="00306FBA" w:rsidRPr="00D83C38" w:rsidRDefault="00306FBA">
            <w:pPr>
              <w:pStyle w:val="CAR-TableText-Left"/>
            </w:pPr>
            <w:r w:rsidRPr="00D83C38">
              <w:t>paragraph 1292(3)(d)</w:t>
            </w:r>
          </w:p>
        </w:tc>
        <w:tc>
          <w:tcPr>
            <w:tcW w:w="6138" w:type="dxa"/>
            <w:shd w:val="clear" w:color="auto" w:fill="D5D5FF"/>
          </w:tcPr>
          <w:p w:rsidR="00306FBA" w:rsidRPr="00D83C38" w:rsidRDefault="00306FBA">
            <w:pPr>
              <w:pStyle w:val="CAR-TableText-Left"/>
            </w:pPr>
            <w:r w:rsidRPr="00D83C38">
              <w:t>failing to carry out the duties of a liquidator of a body corporate or otherwise not being a fit and proper person to remain registered as a liquidator of that corporation (liquidator of a specified body corporate)</w:t>
            </w:r>
          </w:p>
        </w:tc>
      </w:tr>
    </w:tbl>
    <w:p w:rsidR="00306FBA" w:rsidRPr="00D83C38" w:rsidRDefault="00306FBA">
      <w:pPr>
        <w:pStyle w:val="SingleParagraph"/>
      </w:pPr>
    </w:p>
    <w:p w:rsidR="003D4DDB" w:rsidRDefault="00306FBA">
      <w:pPr>
        <w:pStyle w:val="CAR-BodyText-Left"/>
      </w:pPr>
      <w:r w:rsidRPr="00D83C38">
        <w:t xml:space="preserve">In general </w:t>
      </w:r>
      <w:r w:rsidR="00F30CAF">
        <w:t>CALDB</w:t>
      </w:r>
      <w:r w:rsidRPr="00D83C38">
        <w:t xml:space="preserve"> has power to cancel or suspend the registration of a registered auditor or a registered liquidator, if any of these grounds has been established to </w:t>
      </w:r>
      <w:r w:rsidR="00527FE1">
        <w:t xml:space="preserve">its </w:t>
      </w:r>
      <w:r w:rsidRPr="00D83C38">
        <w:t xml:space="preserve">satisfaction. </w:t>
      </w:r>
    </w:p>
    <w:p w:rsidR="00306FBA" w:rsidRPr="00D83C38" w:rsidRDefault="00306FBA">
      <w:pPr>
        <w:pStyle w:val="CAR-BodyText-Left"/>
      </w:pPr>
      <w:r w:rsidRPr="00D83C38">
        <w:t>If a ground is established under paragraph 1292(7</w:t>
      </w:r>
      <w:proofErr w:type="gramStart"/>
      <w:r w:rsidRPr="00D83C38">
        <w:t>)(</w:t>
      </w:r>
      <w:proofErr w:type="gramEnd"/>
      <w:r w:rsidRPr="00D83C38">
        <w:t xml:space="preserve">a) or (b) then </w:t>
      </w:r>
      <w:r w:rsidR="00F30CAF">
        <w:t>CALDB</w:t>
      </w:r>
      <w:r w:rsidRPr="00D83C38">
        <w:t xml:space="preserve"> has no discretion but to cancel the registration of the practitioner concerned.</w:t>
      </w:r>
    </w:p>
    <w:p w:rsidR="00306FBA" w:rsidRPr="00D83C38" w:rsidRDefault="00306FBA">
      <w:pPr>
        <w:pStyle w:val="CAR-BodyText-Left"/>
      </w:pPr>
      <w:r w:rsidRPr="00D83C38">
        <w:t>In relation to conduct matters under paragraphs 1292(1</w:t>
      </w:r>
      <w:proofErr w:type="gramStart"/>
      <w:r w:rsidRPr="00D83C38">
        <w:t>)(</w:t>
      </w:r>
      <w:proofErr w:type="gramEnd"/>
      <w:r w:rsidRPr="00D83C38">
        <w:t xml:space="preserve">d), (2)(d) or (3)(d), </w:t>
      </w:r>
      <w:r w:rsidR="00F30CAF">
        <w:t>CALDB</w:t>
      </w:r>
      <w:r w:rsidRPr="00D83C38">
        <w:t xml:space="preserve"> has additional powers under subsection 1292(9) to admonish, reprimand or require undertakings. These powers may be exercised in addition to, or instead of, the powers to cancel or suspend registration.</w:t>
      </w:r>
    </w:p>
    <w:p w:rsidR="009700A7" w:rsidRPr="00D83C38" w:rsidRDefault="009700A7">
      <w:pPr>
        <w:pStyle w:val="CAR-BodyText-Left"/>
      </w:pPr>
      <w:r w:rsidRPr="00D83C38">
        <w:t xml:space="preserve">Where the registration of a person has been suspended, </w:t>
      </w:r>
      <w:r w:rsidR="00F30CAF">
        <w:t>CALDB</w:t>
      </w:r>
      <w:r w:rsidRPr="00D83C38">
        <w:t xml:space="preserve"> may, on an application by the person or of its own motion, by order under s 1295, terminate the suspension.</w:t>
      </w:r>
    </w:p>
    <w:p w:rsidR="001129F5" w:rsidRDefault="00B369E2" w:rsidP="00136A06">
      <w:pPr>
        <w:pStyle w:val="CAR-BodyText-Left"/>
        <w:outlineLvl w:val="0"/>
      </w:pPr>
      <w:r>
        <w:t>Section 1294A of the Corporations Act provides that the Chairperson may if he considers that it would assist the conduct of the hearing,</w:t>
      </w:r>
      <w:r w:rsidR="00B10FCB">
        <w:t xml:space="preserve"> </w:t>
      </w:r>
      <w:r>
        <w:t xml:space="preserve">convene one or more pre-hearing conferences with the parties. </w:t>
      </w:r>
      <w:r w:rsidR="001129F5">
        <w:t>The Chairman uses the pre hearing conferences to:</w:t>
      </w:r>
    </w:p>
    <w:p w:rsidR="00535B50" w:rsidRDefault="00D10FED" w:rsidP="00B3505F">
      <w:pPr>
        <w:pStyle w:val="CAR-Bullet-1"/>
        <w:rPr>
          <w:lang w:val="en-US"/>
        </w:rPr>
      </w:pPr>
      <w:r w:rsidRPr="00D83C38">
        <w:rPr>
          <w:lang w:val="en-US"/>
        </w:rPr>
        <w:t xml:space="preserve">fix a hearing date </w:t>
      </w:r>
    </w:p>
    <w:p w:rsidR="00535B50" w:rsidRPr="00B3505F" w:rsidRDefault="00D10FED" w:rsidP="00B3505F">
      <w:pPr>
        <w:pStyle w:val="CAR-Bullet-1"/>
      </w:pPr>
      <w:r w:rsidRPr="00B3505F">
        <w:t xml:space="preserve">give directions about the timing of the filing of evidence and submissions; and </w:t>
      </w:r>
    </w:p>
    <w:p w:rsidR="00535B50" w:rsidRPr="00B3505F" w:rsidRDefault="00D10FED" w:rsidP="00B3505F">
      <w:pPr>
        <w:pStyle w:val="CAR-Bullet-1"/>
      </w:pPr>
      <w:proofErr w:type="gramStart"/>
      <w:r w:rsidRPr="00B3505F">
        <w:t>give</w:t>
      </w:r>
      <w:proofErr w:type="gramEnd"/>
      <w:r w:rsidRPr="00B3505F">
        <w:t xml:space="preserve"> directions about the procedure to be followed generally at or in connection with the hearing.</w:t>
      </w:r>
    </w:p>
    <w:p w:rsidR="006940C9" w:rsidRDefault="00531013" w:rsidP="00136A06">
      <w:pPr>
        <w:pStyle w:val="CAR-BodyText-Left"/>
        <w:outlineLvl w:val="0"/>
      </w:pPr>
      <w:r>
        <w:t xml:space="preserve">The Chairman </w:t>
      </w:r>
      <w:r w:rsidR="001129F5">
        <w:t>also uses the</w:t>
      </w:r>
      <w:r w:rsidR="006D31F6">
        <w:t xml:space="preserve"> pre hearing conference</w:t>
      </w:r>
      <w:r w:rsidR="001129F5">
        <w:t>s</w:t>
      </w:r>
      <w:r w:rsidR="006D31F6">
        <w:t xml:space="preserve"> to</w:t>
      </w:r>
      <w:r w:rsidR="006940C9">
        <w:t>:</w:t>
      </w:r>
    </w:p>
    <w:p w:rsidR="00CF6D1F" w:rsidRDefault="002E7EAB" w:rsidP="00B3505F">
      <w:pPr>
        <w:pStyle w:val="CAR-Bullet-1"/>
      </w:pPr>
      <w:proofErr w:type="gramStart"/>
      <w:r w:rsidRPr="00D83C38">
        <w:t>encourag</w:t>
      </w:r>
      <w:r>
        <w:t>e</w:t>
      </w:r>
      <w:proofErr w:type="gramEnd"/>
      <w:r>
        <w:t xml:space="preserve"> </w:t>
      </w:r>
      <w:r w:rsidR="00306FBA" w:rsidRPr="00D83C38">
        <w:t>contact between the parties as early as possible</w:t>
      </w:r>
      <w:r w:rsidR="006940C9">
        <w:t>;</w:t>
      </w:r>
      <w:r w:rsidR="00306FBA" w:rsidRPr="00D83C38">
        <w:t>.</w:t>
      </w:r>
    </w:p>
    <w:p w:rsidR="00CF6D1F" w:rsidRDefault="00CC6FFD" w:rsidP="00B3505F">
      <w:pPr>
        <w:pStyle w:val="CAR-Bullet-1"/>
      </w:pPr>
      <w:r>
        <w:t>r</w:t>
      </w:r>
      <w:r w:rsidR="00051C7B">
        <w:t xml:space="preserve">efine and reduce the matters in dispute to </w:t>
      </w:r>
      <w:r w:rsidR="00306FBA" w:rsidRPr="00D83C38">
        <w:t>reduce the length of the hearing and overall costs of the proceedings</w:t>
      </w:r>
      <w:r w:rsidR="00D10FED">
        <w:t xml:space="preserve">; </w:t>
      </w:r>
      <w:r w:rsidR="00051C7B">
        <w:t>and</w:t>
      </w:r>
    </w:p>
    <w:p w:rsidR="00CF6D1F" w:rsidRDefault="00D10FED" w:rsidP="00B3505F">
      <w:pPr>
        <w:pStyle w:val="CAR-Bullet-1"/>
      </w:pPr>
      <w:proofErr w:type="gramStart"/>
      <w:r w:rsidRPr="00D83C38">
        <w:t>resolv</w:t>
      </w:r>
      <w:r>
        <w:t>e</w:t>
      </w:r>
      <w:proofErr w:type="gramEnd"/>
      <w:r w:rsidRPr="00D83C38">
        <w:t xml:space="preserve"> </w:t>
      </w:r>
      <w:r>
        <w:t xml:space="preserve">any </w:t>
      </w:r>
      <w:r w:rsidRPr="00D83C38">
        <w:t>preliminary matters</w:t>
      </w:r>
      <w:r w:rsidR="00051C7B">
        <w:t>.</w:t>
      </w:r>
    </w:p>
    <w:p w:rsidR="00306FBA" w:rsidRPr="00D83C38" w:rsidRDefault="00D10FED" w:rsidP="006D31F6">
      <w:pPr>
        <w:pStyle w:val="CAR-BodyText-Left"/>
      </w:pPr>
      <w:r>
        <w:t>CALDB’s</w:t>
      </w:r>
      <w:r w:rsidR="00306FBA" w:rsidRPr="00D83C38">
        <w:t xml:space="preserve"> pre</w:t>
      </w:r>
      <w:r w:rsidR="00306FBA" w:rsidRPr="00D83C38">
        <w:noBreakHyphen/>
        <w:t xml:space="preserve">hearing procedures are </w:t>
      </w:r>
      <w:r w:rsidR="006940C9">
        <w:t>continual</w:t>
      </w:r>
      <w:r w:rsidR="00527FE1">
        <w:t>ly</w:t>
      </w:r>
      <w:r w:rsidR="006940C9">
        <w:t xml:space="preserve"> </w:t>
      </w:r>
      <w:r w:rsidR="00306FBA" w:rsidRPr="00D83C38">
        <w:t>review</w:t>
      </w:r>
      <w:r w:rsidR="00527FE1">
        <w:t>ed</w:t>
      </w:r>
      <w:r w:rsidR="00306FBA" w:rsidRPr="00D83C38">
        <w:t xml:space="preserve"> to ensure that </w:t>
      </w:r>
      <w:r>
        <w:t xml:space="preserve">they </w:t>
      </w:r>
      <w:r w:rsidR="00531013">
        <w:t xml:space="preserve">remain </w:t>
      </w:r>
      <w:r w:rsidR="00306FBA" w:rsidRPr="00D83C38">
        <w:t xml:space="preserve">effective and efficient </w:t>
      </w:r>
      <w:r w:rsidR="00531013">
        <w:t xml:space="preserve">so as to </w:t>
      </w:r>
      <w:r w:rsidR="003D4DDB">
        <w:t>minimis</w:t>
      </w:r>
      <w:r w:rsidR="00531013">
        <w:t>e</w:t>
      </w:r>
      <w:r w:rsidR="003D4DDB">
        <w:t xml:space="preserve"> </w:t>
      </w:r>
      <w:r w:rsidR="00306FBA" w:rsidRPr="00D83C38">
        <w:t>costs and time for all parties.</w:t>
      </w:r>
    </w:p>
    <w:p w:rsidR="00CF6D1F" w:rsidRDefault="006D31F6">
      <w:pPr>
        <w:pStyle w:val="CAR-BodyText-Left"/>
      </w:pPr>
      <w:r>
        <w:t>Should the parties reach consensus regarding an acceptable outcome they can refer draft agreed terms of order to the</w:t>
      </w:r>
      <w:r w:rsidR="00D10FED">
        <w:t xml:space="preserve"> CALDB panel</w:t>
      </w:r>
      <w:r>
        <w:t xml:space="preserve">. </w:t>
      </w:r>
      <w:r w:rsidR="0039258B">
        <w:t>CALDB</w:t>
      </w:r>
      <w:r w:rsidR="00D10FED" w:rsidRPr="00D83C38">
        <w:t xml:space="preserve"> does not participate in any settlement discussions or negotiations between the parties and retains the right to d</w:t>
      </w:r>
      <w:r w:rsidR="00D10FED">
        <w:t>etermine the appropriate order</w:t>
      </w:r>
      <w:r w:rsidR="003D4DDB">
        <w:t>s.</w:t>
      </w:r>
    </w:p>
    <w:p w:rsidR="000246D6" w:rsidRDefault="000246D6">
      <w:pPr>
        <w:pStyle w:val="CAR-BodyText-Left"/>
        <w:rPr>
          <w:lang w:val="en-US"/>
        </w:rPr>
      </w:pPr>
    </w:p>
    <w:p w:rsidR="00306FBA" w:rsidRPr="00D83C38" w:rsidRDefault="00306FBA">
      <w:pPr>
        <w:pStyle w:val="CAR-Heading-1"/>
      </w:pPr>
      <w:proofErr w:type="gramStart"/>
      <w:r w:rsidRPr="00D83C38">
        <w:t>Panel</w:t>
      </w:r>
      <w:r w:rsidR="001129F5">
        <w:t xml:space="preserve"> of CALDB members to hear and determine matters.</w:t>
      </w:r>
      <w:proofErr w:type="gramEnd"/>
    </w:p>
    <w:p w:rsidR="00732BEF" w:rsidRDefault="00306FBA" w:rsidP="00434CC8">
      <w:pPr>
        <w:pStyle w:val="CAR-BodyText-Left"/>
      </w:pPr>
      <w:r w:rsidRPr="00D83C38">
        <w:t xml:space="preserve">Hearings are conducted and decisions are made by a </w:t>
      </w:r>
      <w:r w:rsidR="00732BEF">
        <w:t>p</w:t>
      </w:r>
      <w:r w:rsidR="00732BEF" w:rsidRPr="00D83C38">
        <w:t xml:space="preserve">anel </w:t>
      </w:r>
      <w:r w:rsidRPr="00D83C38">
        <w:t xml:space="preserve">of </w:t>
      </w:r>
      <w:r w:rsidR="00434CC8">
        <w:t>members of CALDB</w:t>
      </w:r>
      <w:r w:rsidR="00B10FCB">
        <w:t xml:space="preserve"> </w:t>
      </w:r>
      <w:r w:rsidR="00D169D4">
        <w:t>(</w:t>
      </w:r>
      <w:r w:rsidR="00B10FCB">
        <w:t>‘</w:t>
      </w:r>
      <w:r w:rsidR="00D169D4">
        <w:t>Panel</w:t>
      </w:r>
      <w:r w:rsidR="00B10FCB">
        <w:t>’</w:t>
      </w:r>
      <w:r w:rsidR="00D169D4">
        <w:t>)</w:t>
      </w:r>
      <w:r w:rsidR="00B10FCB">
        <w:t>.</w:t>
      </w:r>
      <w:r w:rsidR="00434CC8">
        <w:t xml:space="preserve"> </w:t>
      </w:r>
    </w:p>
    <w:p w:rsidR="00732BEF" w:rsidRDefault="00306FBA" w:rsidP="00434CC8">
      <w:pPr>
        <w:pStyle w:val="CAR-BodyText-Left"/>
      </w:pPr>
      <w:r w:rsidRPr="00D83C38">
        <w:t>The</w:t>
      </w:r>
      <w:r w:rsidR="00751625">
        <w:t xml:space="preserve"> ASIC Act requires the</w:t>
      </w:r>
      <w:r w:rsidRPr="00D83C38">
        <w:t xml:space="preserve"> Chairperson </w:t>
      </w:r>
      <w:r w:rsidR="00751625">
        <w:t xml:space="preserve">to </w:t>
      </w:r>
      <w:r w:rsidRPr="00D83C38">
        <w:t xml:space="preserve">determine </w:t>
      </w:r>
      <w:r w:rsidR="00434CC8" w:rsidRPr="00D83C38">
        <w:t>th</w:t>
      </w:r>
      <w:r w:rsidR="00434CC8">
        <w:t>ose</w:t>
      </w:r>
      <w:r w:rsidR="00434CC8" w:rsidRPr="00D83C38">
        <w:t xml:space="preserve"> </w:t>
      </w:r>
      <w:r w:rsidRPr="00D83C38">
        <w:t xml:space="preserve">members of the Board who are to constitute the </w:t>
      </w:r>
      <w:r w:rsidR="00D169D4">
        <w:t>P</w:t>
      </w:r>
      <w:r w:rsidR="00732BEF" w:rsidRPr="00D83C38">
        <w:t xml:space="preserve">anel </w:t>
      </w:r>
      <w:r w:rsidRPr="00D83C38">
        <w:t xml:space="preserve">to conduct a particular hearing. </w:t>
      </w:r>
    </w:p>
    <w:p w:rsidR="00434CC8" w:rsidRPr="00D83C38" w:rsidRDefault="00434CC8" w:rsidP="00434CC8">
      <w:pPr>
        <w:pStyle w:val="CAR-BodyText-Left"/>
      </w:pPr>
      <w:r w:rsidRPr="00D83C38">
        <w:t xml:space="preserve">A </w:t>
      </w:r>
      <w:r w:rsidR="00D169D4">
        <w:t>P</w:t>
      </w:r>
      <w:r w:rsidRPr="00D83C38">
        <w:t xml:space="preserve">anel must include the Chairperson or Deputy Chairperson as Chairperson of the Panel. </w:t>
      </w:r>
      <w:r w:rsidR="00732BEF">
        <w:t xml:space="preserve">Generally, a </w:t>
      </w:r>
      <w:r w:rsidR="00D169D4">
        <w:t>P</w:t>
      </w:r>
      <w:r w:rsidR="00732BEF">
        <w:t xml:space="preserve">anel is constituted by five members - </w:t>
      </w:r>
      <w:r w:rsidRPr="00D83C38">
        <w:t>two accounting members and two business members.</w:t>
      </w:r>
      <w:r>
        <w:t xml:space="preserve"> </w:t>
      </w:r>
      <w:r w:rsidR="00051C7B">
        <w:t>T</w:t>
      </w:r>
      <w:r w:rsidRPr="00D83C38">
        <w:t xml:space="preserve">he Chairperson may consider it appropriate to </w:t>
      </w:r>
      <w:r w:rsidR="00732BEF">
        <w:t>convene</w:t>
      </w:r>
      <w:r w:rsidRPr="00D83C38">
        <w:t xml:space="preserve"> a Panel with three members, in which </w:t>
      </w:r>
      <w:r w:rsidR="00D169D4">
        <w:t xml:space="preserve">case </w:t>
      </w:r>
      <w:r w:rsidRPr="00D83C38">
        <w:t xml:space="preserve">one accounting </w:t>
      </w:r>
      <w:r w:rsidR="00732BEF">
        <w:t xml:space="preserve">and one business </w:t>
      </w:r>
      <w:r w:rsidRPr="00D83C38">
        <w:t>member</w:t>
      </w:r>
      <w:r w:rsidR="00D169D4">
        <w:t xml:space="preserve"> would</w:t>
      </w:r>
      <w:r w:rsidR="00B10FCB">
        <w:t xml:space="preserve"> </w:t>
      </w:r>
      <w:r w:rsidR="00D169D4">
        <w:t>be selected</w:t>
      </w:r>
      <w:r w:rsidR="00732BEF">
        <w:t>.</w:t>
      </w:r>
      <w:r w:rsidRPr="00D83C38">
        <w:t xml:space="preserve"> </w:t>
      </w:r>
    </w:p>
    <w:p w:rsidR="00306FBA" w:rsidRPr="00D83C38" w:rsidRDefault="00732BEF">
      <w:pPr>
        <w:pStyle w:val="CAR-BodyText-Left"/>
      </w:pPr>
      <w:r>
        <w:t>Matters are heard by</w:t>
      </w:r>
      <w:r w:rsidR="00D169D4">
        <w:t xml:space="preserve"> a</w:t>
      </w:r>
      <w:r>
        <w:t xml:space="preserve"> duly constituted </w:t>
      </w:r>
      <w:r w:rsidR="00D169D4">
        <w:t>P</w:t>
      </w:r>
      <w:r>
        <w:t xml:space="preserve">anel which </w:t>
      </w:r>
      <w:r w:rsidR="00D169D4">
        <w:t xml:space="preserve">will </w:t>
      </w:r>
      <w:r w:rsidR="00306FBA" w:rsidRPr="00D83C38">
        <w:t>make</w:t>
      </w:r>
      <w:r w:rsidRPr="00D83C38">
        <w:t xml:space="preserve"> </w:t>
      </w:r>
      <w:r w:rsidR="00D169D4">
        <w:t xml:space="preserve">a </w:t>
      </w:r>
      <w:r w:rsidR="00306FBA" w:rsidRPr="00D83C38">
        <w:t>determination</w:t>
      </w:r>
      <w:r w:rsidR="00D169D4">
        <w:t xml:space="preserve"> </w:t>
      </w:r>
      <w:r w:rsidR="00306FBA" w:rsidRPr="00D83C38">
        <w:t>and decisions</w:t>
      </w:r>
      <w:r>
        <w:t xml:space="preserve"> as necessary</w:t>
      </w:r>
      <w:r w:rsidR="00306FBA" w:rsidRPr="00D83C38">
        <w:t xml:space="preserve"> in relation to </w:t>
      </w:r>
      <w:r>
        <w:t>a</w:t>
      </w:r>
      <w:r w:rsidR="00D2688C">
        <w:t xml:space="preserve"> </w:t>
      </w:r>
      <w:r w:rsidR="00306FBA" w:rsidRPr="00D83C38">
        <w:t>particular application.</w:t>
      </w:r>
    </w:p>
    <w:p w:rsidR="00306FBA" w:rsidRPr="00D83C38" w:rsidRDefault="00306FBA" w:rsidP="00136A06">
      <w:pPr>
        <w:pStyle w:val="CAR-BodyText-Left"/>
        <w:outlineLvl w:val="0"/>
      </w:pPr>
      <w:r w:rsidRPr="00D83C38">
        <w:t>All matters</w:t>
      </w:r>
      <w:r w:rsidR="00D169D4">
        <w:t xml:space="preserve"> </w:t>
      </w:r>
      <w:r w:rsidR="00D169D4" w:rsidRPr="00D83C38">
        <w:t xml:space="preserve">referred </w:t>
      </w:r>
      <w:r w:rsidR="00D169D4">
        <w:t>to CALDB</w:t>
      </w:r>
      <w:r w:rsidR="00D169D4" w:rsidRPr="00D83C38">
        <w:t xml:space="preserve"> </w:t>
      </w:r>
      <w:r w:rsidR="00D169D4">
        <w:t>(</w:t>
      </w:r>
      <w:r w:rsidR="00D169D4" w:rsidRPr="00D83C38">
        <w:t xml:space="preserve">unless </w:t>
      </w:r>
      <w:r w:rsidR="00D169D4">
        <w:t xml:space="preserve">subsequently </w:t>
      </w:r>
      <w:r w:rsidR="00D169D4" w:rsidRPr="00D83C38">
        <w:t>withdrawn</w:t>
      </w:r>
      <w:r w:rsidR="00D169D4">
        <w:t xml:space="preserve"> by ASIC) </w:t>
      </w:r>
      <w:r w:rsidRPr="00D83C38">
        <w:t>must proceed to a hearing</w:t>
      </w:r>
      <w:r w:rsidR="00D169D4">
        <w:t xml:space="preserve"> </w:t>
      </w:r>
      <w:proofErr w:type="gramStart"/>
      <w:r w:rsidR="00D169D4">
        <w:t xml:space="preserve">following </w:t>
      </w:r>
      <w:r w:rsidRPr="00D83C38">
        <w:t xml:space="preserve"> which</w:t>
      </w:r>
      <w:proofErr w:type="gramEnd"/>
      <w:r w:rsidRPr="00D83C38">
        <w:t xml:space="preserve"> </w:t>
      </w:r>
      <w:r w:rsidR="00D169D4">
        <w:t>the</w:t>
      </w:r>
      <w:r w:rsidR="00D169D4" w:rsidRPr="00D83C38">
        <w:t xml:space="preserve"> </w:t>
      </w:r>
      <w:r w:rsidRPr="00D83C38">
        <w:t>Panel will make a determination and orders. Hearings are required to be held in private unless a public hearing is requested by a person who is entitled to be given an opportunity to appear at the hearing (other than ASIC and APRA).</w:t>
      </w:r>
    </w:p>
    <w:p w:rsidR="00306FBA" w:rsidRPr="00D83C38" w:rsidRDefault="00306FBA">
      <w:pPr>
        <w:pStyle w:val="CAR-BodyText-Left"/>
      </w:pPr>
      <w:r w:rsidRPr="00D83C38">
        <w:t>For contested conduct matters, a Panel will usually hold a hearing with all members and parties physically present. In other matters,</w:t>
      </w:r>
      <w:r w:rsidR="00D169D4">
        <w:t xml:space="preserve"> the</w:t>
      </w:r>
      <w:r w:rsidRPr="00D83C38">
        <w:t xml:space="preserve"> Panel may arrange hearings by </w:t>
      </w:r>
      <w:r w:rsidR="00715366" w:rsidRPr="00D83C38">
        <w:t>video link</w:t>
      </w:r>
      <w:r w:rsidRPr="00D83C38">
        <w:t xml:space="preserve"> or telephone link with one or more members or parties in different locations. </w:t>
      </w:r>
      <w:r w:rsidR="004621D7">
        <w:t>The ASIC Act permits l</w:t>
      </w:r>
      <w:r w:rsidRPr="00D83C38">
        <w:t>egal representation at all hearings, for all parties. Parties may also represent themselves.</w:t>
      </w:r>
    </w:p>
    <w:p w:rsidR="001129F5" w:rsidRDefault="001129F5" w:rsidP="00136A06">
      <w:pPr>
        <w:pStyle w:val="CAR-BodyText-Left"/>
        <w:outlineLvl w:val="0"/>
      </w:pPr>
      <w:r>
        <w:t>T</w:t>
      </w:r>
      <w:r w:rsidR="00306FBA" w:rsidRPr="00D83C38">
        <w:t>he Panel m</w:t>
      </w:r>
      <w:r>
        <w:t xml:space="preserve">ust </w:t>
      </w:r>
      <w:r w:rsidR="00306FBA" w:rsidRPr="00D83C38">
        <w:t>determin</w:t>
      </w:r>
      <w:r>
        <w:t>e</w:t>
      </w:r>
      <w:r w:rsidR="00306FBA" w:rsidRPr="00D83C38">
        <w:t xml:space="preserve"> whether or not it is satisfied that the contentions raised in the application have been established</w:t>
      </w:r>
      <w:r w:rsidR="00B10FCB">
        <w:t>. The Panel provides</w:t>
      </w:r>
      <w:r w:rsidR="00306FBA" w:rsidRPr="00D83C38">
        <w:t xml:space="preserve"> the parties</w:t>
      </w:r>
      <w:r w:rsidR="00B10FCB">
        <w:t xml:space="preserve"> with</w:t>
      </w:r>
      <w:r w:rsidR="00306FBA" w:rsidRPr="00D83C38">
        <w:t xml:space="preserve"> a written determination which sets out the Panel’s conclusions (with reasons) on each of the contentions</w:t>
      </w:r>
      <w:r w:rsidR="00974ADD">
        <w:t xml:space="preserve">. </w:t>
      </w:r>
    </w:p>
    <w:p w:rsidR="001129F5" w:rsidRDefault="00974ADD">
      <w:pPr>
        <w:pStyle w:val="CAR-BodyText-Left"/>
      </w:pPr>
      <w:r>
        <w:t xml:space="preserve">If a contention is </w:t>
      </w:r>
      <w:r w:rsidR="00306FBA" w:rsidRPr="00D83C38">
        <w:t xml:space="preserve">determined to be established, the Panel will </w:t>
      </w:r>
      <w:r>
        <w:t>decide</w:t>
      </w:r>
      <w:r w:rsidR="00306FBA" w:rsidRPr="00D83C38">
        <w:t xml:space="preserve"> whether or not to exercise any of </w:t>
      </w:r>
      <w:r w:rsidR="0039258B">
        <w:t>CALDB</w:t>
      </w:r>
      <w:r w:rsidR="00306FBA" w:rsidRPr="00D83C38">
        <w:t xml:space="preserve">’s powers under </w:t>
      </w:r>
      <w:r w:rsidR="009A6E65">
        <w:t>s</w:t>
      </w:r>
      <w:r w:rsidRPr="00D83C38">
        <w:t xml:space="preserve">ection </w:t>
      </w:r>
      <w:r w:rsidR="00306FBA" w:rsidRPr="00D83C38">
        <w:t xml:space="preserve">1292 </w:t>
      </w:r>
      <w:r w:rsidR="004621D7">
        <w:t xml:space="preserve">of the Corporations Act </w:t>
      </w:r>
      <w:r>
        <w:t>and/</w:t>
      </w:r>
      <w:r w:rsidR="00306FBA" w:rsidRPr="00D83C38">
        <w:t>or whether or not it is required to make an order under subsection 1292(7)</w:t>
      </w:r>
      <w:r>
        <w:t>. F</w:t>
      </w:r>
      <w:r w:rsidR="00306FBA" w:rsidRPr="00D83C38">
        <w:t xml:space="preserve">or that purpose, </w:t>
      </w:r>
      <w:r>
        <w:t xml:space="preserve">the Panel </w:t>
      </w:r>
      <w:r w:rsidR="00306FBA" w:rsidRPr="00D83C38">
        <w:t xml:space="preserve">may hold a final hearing before delivering its decision. </w:t>
      </w:r>
    </w:p>
    <w:p w:rsidR="00306FBA" w:rsidRDefault="00306FBA">
      <w:pPr>
        <w:pStyle w:val="CAR-BodyText-Left"/>
      </w:pPr>
      <w:r w:rsidRPr="00D83C38">
        <w:t xml:space="preserve">At </w:t>
      </w:r>
      <w:r w:rsidR="00974ADD">
        <w:t>any final</w:t>
      </w:r>
      <w:r w:rsidRPr="00D83C38">
        <w:t xml:space="preserve"> hearing, the parties will have an opportunity to present relevant evidence and make submissions on the questions of sanctions, publicity and costs.</w:t>
      </w:r>
    </w:p>
    <w:p w:rsidR="000246D6" w:rsidRPr="00D83C38" w:rsidRDefault="000246D6">
      <w:pPr>
        <w:pStyle w:val="CAR-BodyText-Left"/>
      </w:pPr>
    </w:p>
    <w:p w:rsidR="00306FBA" w:rsidRPr="00D83C38" w:rsidRDefault="00306FBA" w:rsidP="00136A06">
      <w:pPr>
        <w:pStyle w:val="CAR-Heading-1"/>
        <w:outlineLvl w:val="0"/>
      </w:pPr>
      <w:r w:rsidRPr="00D83C38">
        <w:t>Public</w:t>
      </w:r>
      <w:r w:rsidR="001129F5">
        <w:t>ation of CALDB decisions</w:t>
      </w:r>
    </w:p>
    <w:p w:rsidR="00306FBA" w:rsidRPr="00D83C38" w:rsidRDefault="00306FBA">
      <w:pPr>
        <w:pStyle w:val="CAR-BodyText-Left"/>
      </w:pPr>
      <w:r w:rsidRPr="00897694">
        <w:t xml:space="preserve">Pursuant to </w:t>
      </w:r>
      <w:r w:rsidR="004B3C28">
        <w:t>s</w:t>
      </w:r>
      <w:r w:rsidR="00974ADD" w:rsidRPr="00897694">
        <w:t xml:space="preserve">ubsection </w:t>
      </w:r>
      <w:r w:rsidRPr="00897694">
        <w:t>1296(1)</w:t>
      </w:r>
      <w:r w:rsidR="004621D7" w:rsidRPr="00897694">
        <w:t xml:space="preserve"> of the Corporations Act</w:t>
      </w:r>
      <w:r w:rsidRPr="00897694">
        <w:t xml:space="preserve">, written notice of a decision by a Panel to exercise </w:t>
      </w:r>
      <w:r w:rsidR="0039258B">
        <w:t>CALDB</w:t>
      </w:r>
      <w:r w:rsidRPr="00897694">
        <w:t>’s powers under section 1292 and the reasons for the decision must be</w:t>
      </w:r>
      <w:r w:rsidR="00974ADD" w:rsidRPr="00897694">
        <w:t xml:space="preserve"> provided</w:t>
      </w:r>
      <w:r w:rsidRPr="00897694">
        <w:t xml:space="preserve"> to the practitioner concerned. Pursuant to </w:t>
      </w:r>
      <w:r w:rsidR="009A6E65">
        <w:t>s</w:t>
      </w:r>
      <w:r w:rsidR="00974ADD" w:rsidRPr="00897694">
        <w:t xml:space="preserve">ubsection </w:t>
      </w:r>
      <w:r w:rsidRPr="00D83F30">
        <w:t xml:space="preserve">1296(2), written notice of a decision by a Panel to refuse to exercise </w:t>
      </w:r>
      <w:r w:rsidR="0039258B">
        <w:t>CALDB</w:t>
      </w:r>
      <w:r w:rsidRPr="00D83F30">
        <w:t xml:space="preserve">’s powers under </w:t>
      </w:r>
      <w:r w:rsidR="009A6E65">
        <w:t>s</w:t>
      </w:r>
      <w:r w:rsidR="00974ADD" w:rsidRPr="00D83F30">
        <w:t xml:space="preserve">ection </w:t>
      </w:r>
      <w:r w:rsidRPr="00D83F30">
        <w:t xml:space="preserve">1292 </w:t>
      </w:r>
      <w:r w:rsidR="004D225C" w:rsidRPr="004D225C">
        <w:t xml:space="preserve">or a decision that it is not required to make an order under </w:t>
      </w:r>
      <w:r w:rsidR="009A6E65">
        <w:t>s</w:t>
      </w:r>
      <w:r w:rsidR="004D225C" w:rsidRPr="004D225C">
        <w:t xml:space="preserve">ubsection 1292(7) in relation to a person, </w:t>
      </w:r>
      <w:r w:rsidRPr="00897694">
        <w:t>must be given to the practitioner concerned. A copy of any such notice must be lo</w:t>
      </w:r>
      <w:r w:rsidRPr="00D83F30">
        <w:t>dged with ASIC.</w:t>
      </w:r>
    </w:p>
    <w:p w:rsidR="00306FBA" w:rsidRPr="00D83C38" w:rsidRDefault="00306FBA">
      <w:pPr>
        <w:pStyle w:val="CAR-BodyText-Left"/>
      </w:pPr>
      <w:r w:rsidRPr="00D83C38">
        <w:t xml:space="preserve">The notice of decision is available for inspection at ASIC except when the Panel has decided to refuse to exercise </w:t>
      </w:r>
      <w:r w:rsidR="0039258B">
        <w:t>CALDB</w:t>
      </w:r>
      <w:r w:rsidRPr="00D83C38">
        <w:t xml:space="preserve">’s powers under section 1292 or has decided that it is not required to make an order under subsection 1292(7) (see </w:t>
      </w:r>
      <w:r w:rsidR="009A6E65">
        <w:t>s</w:t>
      </w:r>
      <w:r w:rsidR="007166F1" w:rsidRPr="00D83C38">
        <w:t xml:space="preserve">ubparagraph </w:t>
      </w:r>
      <w:r w:rsidRPr="00D83C38">
        <w:t>1274(2)(a)(iii)).</w:t>
      </w:r>
    </w:p>
    <w:p w:rsidR="00897694" w:rsidRDefault="00306FBA">
      <w:pPr>
        <w:pStyle w:val="CAR-BodyText-Left"/>
      </w:pPr>
      <w:r w:rsidRPr="00D83C38">
        <w:t xml:space="preserve">Where the Panel has decided to exercise any of the </w:t>
      </w:r>
      <w:r w:rsidR="00897694">
        <w:t>CALDB’s</w:t>
      </w:r>
      <w:r w:rsidR="00897694" w:rsidRPr="00D83C38">
        <w:t xml:space="preserve"> </w:t>
      </w:r>
      <w:r w:rsidRPr="00D83C38">
        <w:t xml:space="preserve">powers under </w:t>
      </w:r>
      <w:r w:rsidR="009A6E65">
        <w:t>s</w:t>
      </w:r>
      <w:r w:rsidR="00897694" w:rsidRPr="00D83C38">
        <w:t xml:space="preserve">ection </w:t>
      </w:r>
      <w:r w:rsidRPr="00D83C38">
        <w:t xml:space="preserve">1292 or has decided that it is required to make an order under </w:t>
      </w:r>
      <w:r w:rsidR="009A6E65">
        <w:t>s</w:t>
      </w:r>
      <w:r w:rsidR="00897694" w:rsidRPr="00D83C38">
        <w:t xml:space="preserve">ubsection </w:t>
      </w:r>
      <w:r w:rsidRPr="00D83C38">
        <w:t xml:space="preserve">1292(7), </w:t>
      </w:r>
      <w:r w:rsidR="00D83F30">
        <w:t>CALDB</w:t>
      </w:r>
      <w:r w:rsidRPr="00D83C38">
        <w:t xml:space="preserve"> is required pursuant to </w:t>
      </w:r>
      <w:r w:rsidR="009A6E65">
        <w:t>s</w:t>
      </w:r>
      <w:r w:rsidR="00897694" w:rsidRPr="00D83C38">
        <w:t xml:space="preserve">ubsection </w:t>
      </w:r>
      <w:r w:rsidRPr="00D83C38">
        <w:t xml:space="preserve">1296(1) to publish in the Commonwealth Gazette a notice setting out the decision. </w:t>
      </w:r>
    </w:p>
    <w:p w:rsidR="00306FBA" w:rsidRPr="00D83C38" w:rsidRDefault="00306FBA">
      <w:pPr>
        <w:pStyle w:val="CAR-BodyText-Left"/>
      </w:pPr>
      <w:r w:rsidRPr="00D83C38">
        <w:t>By arrangement with the Institute of Chartered Accountants in Australia, CPA Australia, National Institute of Accountants, Insolvency Practitioners Association of Australia and the Tax Agents Registration Board, copies of notices published in the Commonwealth Gazette are provided to those bodies of which the practitioner is a member.</w:t>
      </w:r>
    </w:p>
    <w:p w:rsidR="00306FBA" w:rsidRDefault="00306FBA">
      <w:pPr>
        <w:pStyle w:val="CAR-BodyText-Left"/>
      </w:pPr>
      <w:r w:rsidRPr="00D83C38">
        <w:t xml:space="preserve">In addition, if the Panel decides to exercise any of </w:t>
      </w:r>
      <w:r w:rsidR="00D83F30">
        <w:t>CALDB’s</w:t>
      </w:r>
      <w:r w:rsidRPr="00D83C38">
        <w:t xml:space="preserve"> powers under section 1292, </w:t>
      </w:r>
      <w:r w:rsidR="00D83F30">
        <w:t>it</w:t>
      </w:r>
      <w:r w:rsidRPr="00D83C38">
        <w:t xml:space="preserve"> may take such steps as it considers reasonable and appropriate to publicise that decision and the reasons </w:t>
      </w:r>
      <w:r w:rsidRPr="00B10FCB">
        <w:t xml:space="preserve">for that decision. This will include the power to post the decision and the reasons on the </w:t>
      </w:r>
      <w:r w:rsidR="00D83F30" w:rsidRPr="00B10FCB">
        <w:t xml:space="preserve">CALDB </w:t>
      </w:r>
      <w:r w:rsidRPr="00B10FCB">
        <w:t>website.</w:t>
      </w:r>
      <w:r w:rsidR="001129F5" w:rsidRPr="00B10FCB">
        <w:t xml:space="preserve"> </w:t>
      </w:r>
      <w:r w:rsidR="004D225C" w:rsidRPr="00B10FCB">
        <w:t>CALDB generally takes the view that it is appropriate to publish its decisions on the CALDB website as this provides transparency of its decisions and processes as well as contributing to the public educative role played by CALDB.</w:t>
      </w:r>
    </w:p>
    <w:p w:rsidR="000246D6" w:rsidRPr="00D83C38" w:rsidRDefault="000246D6">
      <w:pPr>
        <w:pStyle w:val="CAR-BodyText-Left"/>
      </w:pPr>
    </w:p>
    <w:p w:rsidR="00306FBA" w:rsidRPr="00D83C38" w:rsidRDefault="00306FBA" w:rsidP="00136A06">
      <w:pPr>
        <w:pStyle w:val="CAR-Heading-1"/>
        <w:outlineLvl w:val="0"/>
      </w:pPr>
      <w:r w:rsidRPr="00D83C38">
        <w:t>Costs</w:t>
      </w:r>
      <w:r w:rsidR="001E2E8A">
        <w:t xml:space="preserve"> orders by CALDB</w:t>
      </w:r>
    </w:p>
    <w:p w:rsidR="00306FBA" w:rsidRPr="00D83C38" w:rsidRDefault="00306FBA">
      <w:pPr>
        <w:pStyle w:val="CAR-BodyText-Left"/>
      </w:pPr>
      <w:r w:rsidRPr="00D83C38">
        <w:t xml:space="preserve">At the end of a hearing a Panel may make an order for costs, and when the Panel makes such an order, </w:t>
      </w:r>
      <w:r w:rsidR="0039258B">
        <w:t>CALDB</w:t>
      </w:r>
      <w:r w:rsidRPr="00D83C38">
        <w:t xml:space="preserve"> refers the parties to its Costs Practice Note.</w:t>
      </w:r>
    </w:p>
    <w:p w:rsidR="00306FBA" w:rsidRDefault="00306FBA">
      <w:pPr>
        <w:pStyle w:val="CAR-BodyText-Left"/>
      </w:pPr>
      <w:r w:rsidRPr="00D83C38">
        <w:t xml:space="preserve">A Panel may also order payment by a party of all or part of the </w:t>
      </w:r>
      <w:r w:rsidR="00897694">
        <w:t xml:space="preserve">CALDB’s </w:t>
      </w:r>
      <w:r w:rsidRPr="00D83C38">
        <w:t>costs of, and incidental to, a hearing.</w:t>
      </w:r>
      <w:r w:rsidR="00531013">
        <w:t xml:space="preserve"> </w:t>
      </w:r>
    </w:p>
    <w:p w:rsidR="000246D6" w:rsidRPr="00D83C38" w:rsidRDefault="000246D6">
      <w:pPr>
        <w:pStyle w:val="CAR-BodyText-Left"/>
      </w:pPr>
    </w:p>
    <w:p w:rsidR="00306FBA" w:rsidRPr="00D83C38" w:rsidRDefault="00306FBA" w:rsidP="00136A06">
      <w:pPr>
        <w:pStyle w:val="CAR-Heading-1"/>
        <w:spacing w:before="180" w:after="180"/>
        <w:outlineLvl w:val="0"/>
      </w:pPr>
      <w:r w:rsidRPr="00D83C38">
        <w:t xml:space="preserve">Review of </w:t>
      </w:r>
      <w:r w:rsidR="00D83F30">
        <w:t>CALDB</w:t>
      </w:r>
      <w:r w:rsidR="00D83F30" w:rsidRPr="00D83C38">
        <w:t xml:space="preserve"> </w:t>
      </w:r>
      <w:r w:rsidRPr="00D83C38">
        <w:t>decisions</w:t>
      </w:r>
    </w:p>
    <w:p w:rsidR="00306FBA" w:rsidRPr="00D83C38" w:rsidRDefault="00306FBA">
      <w:pPr>
        <w:pStyle w:val="CAR-BodyText-Left"/>
      </w:pPr>
      <w:r w:rsidRPr="00D83C38">
        <w:t xml:space="preserve">A review of any decision made under section 1292 </w:t>
      </w:r>
      <w:r w:rsidR="004621D7">
        <w:t xml:space="preserve">of the Corporations Act </w:t>
      </w:r>
      <w:r w:rsidRPr="00D83C38">
        <w:t>may be sought before the AAT by ASIC or by APRA or by any person whose interests are affected by the decision.</w:t>
      </w:r>
    </w:p>
    <w:p w:rsidR="00306FBA" w:rsidRPr="00D83C38" w:rsidRDefault="00306FBA">
      <w:pPr>
        <w:pStyle w:val="CAR-BodyText-Left"/>
      </w:pPr>
      <w:r w:rsidRPr="00D83C38">
        <w:t xml:space="preserve">A person who is aggrieved by a decision </w:t>
      </w:r>
      <w:r w:rsidR="00D83F30">
        <w:t xml:space="preserve">of CALDB </w:t>
      </w:r>
      <w:r w:rsidRPr="00D83C38">
        <w:t xml:space="preserve">may also apply to the Federal Court of Australia </w:t>
      </w:r>
      <w:bookmarkStart w:id="1" w:name="OLE_LINK1"/>
      <w:r w:rsidRPr="00D83C38">
        <w:t xml:space="preserve">under the provisions of the </w:t>
      </w:r>
      <w:r w:rsidRPr="00D83C38">
        <w:rPr>
          <w:i/>
        </w:rPr>
        <w:t>Administrative Decisions (Judicial Review) Act 1977</w:t>
      </w:r>
      <w:r w:rsidRPr="00D83C38">
        <w:t xml:space="preserve"> for an order of review in respect of a decision.</w:t>
      </w:r>
      <w:bookmarkEnd w:id="1"/>
    </w:p>
    <w:p w:rsidR="00306FBA" w:rsidRPr="00D83C38" w:rsidRDefault="00306FBA">
      <w:pPr>
        <w:pStyle w:val="CAR-BodyText-Left"/>
      </w:pPr>
      <w:r w:rsidRPr="00D83C38">
        <w:t>Generally, reviews before the AAT are re</w:t>
      </w:r>
      <w:r w:rsidR="002E7EAB">
        <w:t>-</w:t>
      </w:r>
      <w:r w:rsidRPr="00D83C38">
        <w:t xml:space="preserve">hearings of the application while those by the Federal Court of Australia are concerned with a review of questions of law arising out of the proceedings before </w:t>
      </w:r>
      <w:r w:rsidR="0039258B">
        <w:t>CALDB</w:t>
      </w:r>
      <w:r w:rsidRPr="00D83C38">
        <w:t>.</w:t>
      </w:r>
    </w:p>
    <w:p w:rsidR="00306FBA" w:rsidRDefault="00306FBA">
      <w:pPr>
        <w:pStyle w:val="CAR-BodyText-Left"/>
      </w:pPr>
      <w:r w:rsidRPr="00D83C38">
        <w:t xml:space="preserve">When a </w:t>
      </w:r>
      <w:r w:rsidR="00D83F30">
        <w:t xml:space="preserve">CALDB </w:t>
      </w:r>
      <w:r w:rsidRPr="00D83C38">
        <w:t xml:space="preserve">decision is under review the Board will often be restricted from publishing any notice of decision. Such restriction may be sought by either of the parties and is often sought to avoid prejudice to a Respondent who may later be successful in having a decision of the Board reversed or altered. </w:t>
      </w:r>
    </w:p>
    <w:p w:rsidR="00051C7B" w:rsidRPr="00D83C38" w:rsidRDefault="00051C7B" w:rsidP="00136A06">
      <w:pPr>
        <w:pStyle w:val="CAR-BodyText-Left"/>
        <w:outlineLvl w:val="0"/>
      </w:pPr>
    </w:p>
    <w:p w:rsidR="000131D7" w:rsidRPr="00D83C38" w:rsidRDefault="000131D7" w:rsidP="000131D7">
      <w:pPr>
        <w:pStyle w:val="CAR-Heading-1"/>
        <w:outlineLvl w:val="0"/>
      </w:pPr>
      <w:r w:rsidRPr="00D83C38">
        <w:t>Registrar</w:t>
      </w:r>
      <w:r>
        <w:t xml:space="preserve"> and operations</w:t>
      </w:r>
    </w:p>
    <w:p w:rsidR="000131D7" w:rsidRPr="00D83C38" w:rsidRDefault="000131D7" w:rsidP="000131D7">
      <w:pPr>
        <w:pStyle w:val="CAR-BodyText-Left"/>
      </w:pPr>
      <w:r w:rsidRPr="00D83C38">
        <w:t xml:space="preserve">The administrative business and operations of </w:t>
      </w:r>
      <w:r>
        <w:t>CALDB</w:t>
      </w:r>
      <w:r w:rsidRPr="00D83C38">
        <w:t xml:space="preserve"> are conducted by its Registrar, Mr Gary Hoare, who was formerly an audit partner with KPMG.</w:t>
      </w:r>
    </w:p>
    <w:p w:rsidR="000131D7" w:rsidRDefault="000131D7" w:rsidP="000131D7">
      <w:pPr>
        <w:pStyle w:val="CAR-BodyText-Left"/>
      </w:pPr>
      <w:r>
        <w:t>CALDB</w:t>
      </w:r>
      <w:r w:rsidRPr="00D83C38">
        <w:t xml:space="preserve"> is </w:t>
      </w:r>
      <w:r>
        <w:t xml:space="preserve">located </w:t>
      </w:r>
      <w:r w:rsidRPr="00D83C38">
        <w:t xml:space="preserve">at Level 16, 60 Margaret Street, Sydney, </w:t>
      </w:r>
      <w:r>
        <w:t>where CALDB’s</w:t>
      </w:r>
      <w:r w:rsidRPr="00D83C38">
        <w:t xml:space="preserve"> principal hearing room</w:t>
      </w:r>
      <w:r>
        <w:t xml:space="preserve"> is located</w:t>
      </w:r>
      <w:r w:rsidRPr="00D83C38">
        <w:t xml:space="preserve">. </w:t>
      </w:r>
    </w:p>
    <w:p w:rsidR="000131D7" w:rsidRDefault="000131D7" w:rsidP="000131D7">
      <w:pPr>
        <w:pStyle w:val="CAR-BodyText-Left"/>
      </w:pPr>
      <w:r w:rsidRPr="00D83C38">
        <w:t xml:space="preserve">Hearings are also held, as needed, at other locations around Australia, and occasionally by telephone or video link. It is the policy of </w:t>
      </w:r>
      <w:r>
        <w:t>CALDB</w:t>
      </w:r>
      <w:r w:rsidRPr="00D83C38">
        <w:t xml:space="preserve"> that a hearing will normally be held in the capital city of the State or Territory of residence of the Respondent. The application of this policy may be varied in individual cases.</w:t>
      </w:r>
    </w:p>
    <w:p w:rsidR="000246D6" w:rsidRDefault="000246D6" w:rsidP="000246D6">
      <w:pPr>
        <w:pStyle w:val="CAR-BodyText-Left"/>
        <w:spacing w:after="120"/>
      </w:pPr>
    </w:p>
    <w:p w:rsidR="00306FBA" w:rsidRPr="00D83C38" w:rsidRDefault="000A12BC" w:rsidP="00136A06">
      <w:pPr>
        <w:pStyle w:val="CAR-Heading-1"/>
        <w:outlineLvl w:val="0"/>
      </w:pPr>
      <w:r>
        <w:t xml:space="preserve">CALDB </w:t>
      </w:r>
      <w:r w:rsidR="00306FBA" w:rsidRPr="00D83C38">
        <w:t>Financial statements</w:t>
      </w:r>
      <w:r>
        <w:t xml:space="preserve"> for reporting year</w:t>
      </w:r>
    </w:p>
    <w:p w:rsidR="00306FBA" w:rsidRPr="00D83C38" w:rsidRDefault="00D83F30">
      <w:pPr>
        <w:pStyle w:val="CAR-BodyText-Left"/>
      </w:pPr>
      <w:r>
        <w:t>CALDB</w:t>
      </w:r>
      <w:r w:rsidR="00306FBA" w:rsidRPr="00D83C38">
        <w:t xml:space="preserve"> is allocated funding by the Federal Government through ASIC’s budget. </w:t>
      </w:r>
      <w:r>
        <w:t>CALDB’s</w:t>
      </w:r>
      <w:r w:rsidRPr="00D83C38">
        <w:t xml:space="preserve"> </w:t>
      </w:r>
      <w:r w:rsidR="00306FBA" w:rsidRPr="00D83C38">
        <w:t>expenses are, apart from some fixed overhead expenses, largely a function of the workload, which varies in accordance with the number and complexity of applications received.</w:t>
      </w:r>
    </w:p>
    <w:p w:rsidR="00306FBA" w:rsidRDefault="00D83F30">
      <w:pPr>
        <w:pStyle w:val="CAR-BodyText-Left"/>
      </w:pPr>
      <w:r>
        <w:t>CALD</w:t>
      </w:r>
      <w:r w:rsidR="003733F6">
        <w:t>B</w:t>
      </w:r>
      <w:r>
        <w:t>’s</w:t>
      </w:r>
      <w:r w:rsidR="00306FBA" w:rsidRPr="00D83C38">
        <w:t xml:space="preserve"> expenditure for this and the previous financial year, as audited in the accounts of ASIC, consisted of:</w:t>
      </w:r>
    </w:p>
    <w:p w:rsidR="000246D6" w:rsidRDefault="000246D6" w:rsidP="000246D6">
      <w:pPr>
        <w:pStyle w:val="CAR-BodyText-Left"/>
        <w:spacing w:after="120"/>
      </w:pPr>
    </w:p>
    <w:tbl>
      <w:tblPr>
        <w:tblW w:w="7711" w:type="dxa"/>
        <w:tblInd w:w="108" w:type="dxa"/>
        <w:tblBorders>
          <w:top w:val="single" w:sz="2" w:space="0" w:color="000080"/>
          <w:bottom w:val="single" w:sz="2" w:space="0" w:color="000080"/>
        </w:tblBorders>
        <w:tblLook w:val="01E0"/>
      </w:tblPr>
      <w:tblGrid>
        <w:gridCol w:w="3840"/>
        <w:gridCol w:w="1920"/>
        <w:gridCol w:w="1951"/>
      </w:tblGrid>
      <w:tr w:rsidR="00E8799E" w:rsidRPr="00D83C38">
        <w:tc>
          <w:tcPr>
            <w:tcW w:w="3840" w:type="dxa"/>
            <w:tcBorders>
              <w:top w:val="single" w:sz="2" w:space="0" w:color="000080"/>
              <w:bottom w:val="nil"/>
            </w:tcBorders>
            <w:shd w:val="clear" w:color="auto" w:fill="D5D5FF"/>
          </w:tcPr>
          <w:p w:rsidR="00E8799E" w:rsidRPr="00D83C38" w:rsidRDefault="00E8799E">
            <w:pPr>
              <w:pStyle w:val="TableColumnHeadingRight"/>
            </w:pPr>
          </w:p>
        </w:tc>
        <w:tc>
          <w:tcPr>
            <w:tcW w:w="1920" w:type="dxa"/>
            <w:tcBorders>
              <w:top w:val="single" w:sz="2" w:space="0" w:color="000080"/>
              <w:bottom w:val="nil"/>
            </w:tcBorders>
            <w:shd w:val="clear" w:color="auto" w:fill="D5D5FF"/>
          </w:tcPr>
          <w:p w:rsidR="00E8799E" w:rsidRPr="00D83C38" w:rsidRDefault="00E8799E">
            <w:pPr>
              <w:pStyle w:val="CAR-TableColHead-Right"/>
            </w:pPr>
            <w:r w:rsidRPr="00D83C38">
              <w:t>201</w:t>
            </w:r>
            <w:r w:rsidR="00F5202E">
              <w:t>2</w:t>
            </w:r>
            <w:r w:rsidRPr="00D83C38">
              <w:t>/1</w:t>
            </w:r>
            <w:r w:rsidR="00F5202E">
              <w:t>3</w:t>
            </w:r>
          </w:p>
        </w:tc>
        <w:tc>
          <w:tcPr>
            <w:tcW w:w="1951" w:type="dxa"/>
            <w:tcBorders>
              <w:top w:val="single" w:sz="2" w:space="0" w:color="000080"/>
              <w:bottom w:val="nil"/>
            </w:tcBorders>
            <w:shd w:val="clear" w:color="auto" w:fill="D5D5FF"/>
          </w:tcPr>
          <w:p w:rsidR="00E8799E" w:rsidRPr="00D83C38" w:rsidRDefault="00F5202E">
            <w:pPr>
              <w:pStyle w:val="CAR-TableColHead-Right"/>
            </w:pPr>
            <w:r>
              <w:t>2011/12</w:t>
            </w:r>
          </w:p>
        </w:tc>
      </w:tr>
      <w:tr w:rsidR="00E8799E" w:rsidRPr="00D83C38">
        <w:tc>
          <w:tcPr>
            <w:tcW w:w="3840" w:type="dxa"/>
            <w:tcBorders>
              <w:top w:val="nil"/>
              <w:bottom w:val="single" w:sz="2" w:space="0" w:color="000080"/>
            </w:tcBorders>
            <w:shd w:val="clear" w:color="auto" w:fill="D5D5FF"/>
          </w:tcPr>
          <w:p w:rsidR="00E8799E" w:rsidRPr="00D83C38" w:rsidRDefault="00E8799E">
            <w:pPr>
              <w:pStyle w:val="TableColumnHeadingRight"/>
            </w:pPr>
          </w:p>
        </w:tc>
        <w:tc>
          <w:tcPr>
            <w:tcW w:w="1920" w:type="dxa"/>
            <w:tcBorders>
              <w:top w:val="nil"/>
              <w:bottom w:val="single" w:sz="2" w:space="0" w:color="000080"/>
            </w:tcBorders>
            <w:shd w:val="clear" w:color="auto" w:fill="D5D5FF"/>
          </w:tcPr>
          <w:p w:rsidR="00E8799E" w:rsidRPr="00D83C38" w:rsidRDefault="00E8799E">
            <w:pPr>
              <w:pStyle w:val="CAR-TableColHead-Right"/>
            </w:pPr>
            <w:r w:rsidRPr="00D83C38">
              <w:t>$</w:t>
            </w:r>
          </w:p>
        </w:tc>
        <w:tc>
          <w:tcPr>
            <w:tcW w:w="1951" w:type="dxa"/>
            <w:tcBorders>
              <w:top w:val="nil"/>
              <w:bottom w:val="single" w:sz="2" w:space="0" w:color="000080"/>
            </w:tcBorders>
            <w:shd w:val="clear" w:color="auto" w:fill="D5D5FF"/>
          </w:tcPr>
          <w:p w:rsidR="00E8799E" w:rsidRPr="00D83C38" w:rsidRDefault="00E8799E">
            <w:pPr>
              <w:pStyle w:val="CAR-TableColHead-Right"/>
            </w:pPr>
            <w:r w:rsidRPr="00D83C38">
              <w:t>$</w:t>
            </w:r>
          </w:p>
        </w:tc>
      </w:tr>
      <w:tr w:rsidR="00F5202E" w:rsidRPr="00D83C38">
        <w:tc>
          <w:tcPr>
            <w:tcW w:w="3840" w:type="dxa"/>
            <w:tcBorders>
              <w:top w:val="single" w:sz="2" w:space="0" w:color="000080"/>
            </w:tcBorders>
          </w:tcPr>
          <w:p w:rsidR="00F5202E" w:rsidRPr="00D83C38" w:rsidRDefault="00F5202E">
            <w:pPr>
              <w:pStyle w:val="CAR-TableText-Left"/>
            </w:pPr>
            <w:r w:rsidRPr="00D83C38">
              <w:t>Administrative expenses</w:t>
            </w:r>
          </w:p>
        </w:tc>
        <w:tc>
          <w:tcPr>
            <w:tcW w:w="1920" w:type="dxa"/>
            <w:tcBorders>
              <w:top w:val="single" w:sz="2" w:space="0" w:color="000080"/>
            </w:tcBorders>
          </w:tcPr>
          <w:p w:rsidR="00F5202E" w:rsidRPr="00D83C38" w:rsidRDefault="00AD22C2">
            <w:pPr>
              <w:pStyle w:val="CAR-TableText-Right"/>
              <w:rPr>
                <w:i/>
                <w:iCs/>
              </w:rPr>
            </w:pPr>
            <w:r>
              <w:rPr>
                <w:i/>
                <w:iCs/>
              </w:rPr>
              <w:t>205,039</w:t>
            </w:r>
          </w:p>
        </w:tc>
        <w:tc>
          <w:tcPr>
            <w:tcW w:w="1951" w:type="dxa"/>
            <w:tcBorders>
              <w:top w:val="single" w:sz="2" w:space="0" w:color="000080"/>
            </w:tcBorders>
          </w:tcPr>
          <w:p w:rsidR="00F5202E" w:rsidRPr="00D83C38" w:rsidRDefault="00F5202E" w:rsidP="00AD22C2">
            <w:pPr>
              <w:pStyle w:val="CAR-TableText-Right"/>
              <w:rPr>
                <w:i/>
                <w:iCs/>
              </w:rPr>
            </w:pPr>
            <w:r>
              <w:rPr>
                <w:i/>
                <w:iCs/>
              </w:rPr>
              <w:t>176,361</w:t>
            </w:r>
          </w:p>
        </w:tc>
      </w:tr>
      <w:tr w:rsidR="00F5202E" w:rsidRPr="00D83C38">
        <w:tc>
          <w:tcPr>
            <w:tcW w:w="3840" w:type="dxa"/>
          </w:tcPr>
          <w:p w:rsidR="00F5202E" w:rsidRPr="00D83C38" w:rsidRDefault="00F5202E">
            <w:pPr>
              <w:pStyle w:val="CAR-TableText-Left"/>
            </w:pPr>
            <w:r w:rsidRPr="00D83C38">
              <w:t>Travel and accommodation including allowances</w:t>
            </w:r>
          </w:p>
        </w:tc>
        <w:tc>
          <w:tcPr>
            <w:tcW w:w="1920" w:type="dxa"/>
          </w:tcPr>
          <w:p w:rsidR="00F5202E" w:rsidRPr="00D83C38" w:rsidRDefault="00AD22C2" w:rsidP="00BF2E91">
            <w:pPr>
              <w:pStyle w:val="CAR-TableText-Right"/>
              <w:rPr>
                <w:i/>
                <w:iCs/>
              </w:rPr>
            </w:pPr>
            <w:r>
              <w:rPr>
                <w:i/>
                <w:iCs/>
              </w:rPr>
              <w:t>34,111</w:t>
            </w:r>
          </w:p>
        </w:tc>
        <w:tc>
          <w:tcPr>
            <w:tcW w:w="1951" w:type="dxa"/>
          </w:tcPr>
          <w:p w:rsidR="00F5202E" w:rsidRPr="00D83C38" w:rsidRDefault="00F5202E" w:rsidP="00AD22C2">
            <w:pPr>
              <w:pStyle w:val="CAR-TableText-Right"/>
              <w:rPr>
                <w:i/>
                <w:iCs/>
              </w:rPr>
            </w:pPr>
            <w:r>
              <w:rPr>
                <w:i/>
                <w:iCs/>
              </w:rPr>
              <w:t>8,693</w:t>
            </w:r>
          </w:p>
        </w:tc>
      </w:tr>
      <w:tr w:rsidR="00F5202E" w:rsidRPr="00D83C38">
        <w:tc>
          <w:tcPr>
            <w:tcW w:w="3840" w:type="dxa"/>
          </w:tcPr>
          <w:p w:rsidR="00F5202E" w:rsidRPr="00D83C38" w:rsidRDefault="00F5202E">
            <w:pPr>
              <w:pStyle w:val="CAR-TableText-Left"/>
            </w:pPr>
            <w:r w:rsidRPr="00D83C38">
              <w:t>Salaries and members’ fees</w:t>
            </w:r>
          </w:p>
        </w:tc>
        <w:tc>
          <w:tcPr>
            <w:tcW w:w="1920" w:type="dxa"/>
          </w:tcPr>
          <w:p w:rsidR="00F5202E" w:rsidRPr="00D83C38" w:rsidRDefault="00AD22C2">
            <w:pPr>
              <w:pStyle w:val="CAR-TableText-Right"/>
              <w:rPr>
                <w:i/>
                <w:iCs/>
              </w:rPr>
            </w:pPr>
            <w:r>
              <w:rPr>
                <w:i/>
                <w:iCs/>
              </w:rPr>
              <w:t>403,131</w:t>
            </w:r>
          </w:p>
        </w:tc>
        <w:tc>
          <w:tcPr>
            <w:tcW w:w="1951" w:type="dxa"/>
          </w:tcPr>
          <w:p w:rsidR="00F5202E" w:rsidRPr="00D83C38" w:rsidRDefault="00F5202E" w:rsidP="00AD22C2">
            <w:pPr>
              <w:pStyle w:val="CAR-TableText-Right"/>
              <w:rPr>
                <w:i/>
                <w:iCs/>
              </w:rPr>
            </w:pPr>
            <w:r>
              <w:rPr>
                <w:i/>
                <w:iCs/>
              </w:rPr>
              <w:t>280,883</w:t>
            </w:r>
          </w:p>
        </w:tc>
      </w:tr>
      <w:tr w:rsidR="00F5202E" w:rsidRPr="00D83C38">
        <w:tc>
          <w:tcPr>
            <w:tcW w:w="3840" w:type="dxa"/>
          </w:tcPr>
          <w:p w:rsidR="00F5202E" w:rsidRPr="00D83C38" w:rsidRDefault="00F5202E">
            <w:pPr>
              <w:pStyle w:val="CAR-TableColHead-Left"/>
            </w:pPr>
            <w:r w:rsidRPr="00D83C38">
              <w:t>Total:</w:t>
            </w:r>
          </w:p>
        </w:tc>
        <w:tc>
          <w:tcPr>
            <w:tcW w:w="1920" w:type="dxa"/>
          </w:tcPr>
          <w:p w:rsidR="00F5202E" w:rsidRPr="00D83C38" w:rsidRDefault="00AD22C2">
            <w:pPr>
              <w:pStyle w:val="CAR-TableText-Right"/>
              <w:rPr>
                <w:i/>
                <w:iCs/>
              </w:rPr>
            </w:pPr>
            <w:r>
              <w:rPr>
                <w:i/>
                <w:iCs/>
              </w:rPr>
              <w:t>642,281</w:t>
            </w:r>
          </w:p>
        </w:tc>
        <w:tc>
          <w:tcPr>
            <w:tcW w:w="1951" w:type="dxa"/>
          </w:tcPr>
          <w:p w:rsidR="00F5202E" w:rsidRPr="00D83C38" w:rsidRDefault="00F5202E" w:rsidP="00AD22C2">
            <w:pPr>
              <w:pStyle w:val="CAR-TableText-Right"/>
              <w:rPr>
                <w:i/>
                <w:iCs/>
              </w:rPr>
            </w:pPr>
            <w:r>
              <w:rPr>
                <w:i/>
                <w:iCs/>
              </w:rPr>
              <w:t>465,937</w:t>
            </w:r>
          </w:p>
        </w:tc>
      </w:tr>
    </w:tbl>
    <w:p w:rsidR="000246D6" w:rsidRDefault="000246D6" w:rsidP="000246D6">
      <w:pPr>
        <w:pStyle w:val="CAR-BodyText-Left"/>
        <w:spacing w:after="120"/>
      </w:pPr>
    </w:p>
    <w:p w:rsidR="00F21170" w:rsidRDefault="00306FBA" w:rsidP="00EB49D2">
      <w:pPr>
        <w:pStyle w:val="CAR-BodyText-Left"/>
        <w:spacing w:before="240"/>
      </w:pPr>
      <w:r w:rsidRPr="00D83C38">
        <w:t xml:space="preserve">The location and </w:t>
      </w:r>
      <w:r w:rsidR="00AD22C2">
        <w:t xml:space="preserve">an increased </w:t>
      </w:r>
      <w:r w:rsidRPr="00D83C38">
        <w:t>number of hearings resulted in a</w:t>
      </w:r>
      <w:r w:rsidR="00AD22C2">
        <w:t>n</w:t>
      </w:r>
      <w:r w:rsidRPr="00D83C38">
        <w:t xml:space="preserve"> </w:t>
      </w:r>
      <w:r w:rsidR="00AD22C2">
        <w:t>increase</w:t>
      </w:r>
      <w:r w:rsidRPr="00D83C38">
        <w:t xml:space="preserve"> in expenses in relation to travel and accommodation</w:t>
      </w:r>
      <w:r w:rsidR="00AD22C2">
        <w:t xml:space="preserve"> during the current year. The in</w:t>
      </w:r>
      <w:r w:rsidRPr="00D83C38">
        <w:t>crease in salaries and members’ fees is a result of a</w:t>
      </w:r>
      <w:r w:rsidR="00AD22C2">
        <w:t>n in</w:t>
      </w:r>
      <w:r w:rsidRPr="00D83C38">
        <w:t xml:space="preserve">crease in hearing days for matters being dealt with by </w:t>
      </w:r>
      <w:r w:rsidR="00D83F30">
        <w:t>CALDB</w:t>
      </w:r>
      <w:r w:rsidRPr="00D83C38">
        <w:t xml:space="preserve"> during the reporting year. </w:t>
      </w:r>
      <w:r w:rsidR="003D4DDB">
        <w:t>T</w:t>
      </w:r>
      <w:r w:rsidR="00C410C0">
        <w:t xml:space="preserve">hese amounts </w:t>
      </w:r>
      <w:r w:rsidR="003D4DDB">
        <w:t xml:space="preserve">are </w:t>
      </w:r>
      <w:r w:rsidR="00C410C0">
        <w:t xml:space="preserve">below the levels of previous years, when the number of applications before </w:t>
      </w:r>
      <w:r w:rsidR="00D83F30">
        <w:t>CALDB</w:t>
      </w:r>
      <w:r w:rsidR="00C410C0">
        <w:t xml:space="preserve"> </w:t>
      </w:r>
      <w:r w:rsidR="004533AE">
        <w:t>was</w:t>
      </w:r>
      <w:r w:rsidR="00C410C0">
        <w:t xml:space="preserve"> greater. </w:t>
      </w:r>
      <w:r w:rsidRPr="00D83C38">
        <w:t xml:space="preserve">Members of </w:t>
      </w:r>
      <w:r w:rsidR="00D83F30">
        <w:t>CALDB</w:t>
      </w:r>
      <w:r w:rsidRPr="00D83C38">
        <w:t xml:space="preserve"> are remunerated in accordance with rates determined by the Commonwealth Remuneration Tribunal. </w:t>
      </w:r>
      <w:r w:rsidR="00531013">
        <w:t>It is expected that costs in the 2014 reporting year will rise due to the significant increase in matters filed with CALDB.</w:t>
      </w:r>
    </w:p>
    <w:p w:rsidR="00306FBA" w:rsidRPr="00D83C38" w:rsidRDefault="00051C7B" w:rsidP="00136A06">
      <w:pPr>
        <w:pStyle w:val="CAR-Heading-1"/>
        <w:outlineLvl w:val="0"/>
      </w:pPr>
      <w:r>
        <w:t>R</w:t>
      </w:r>
      <w:r w:rsidR="00306FBA" w:rsidRPr="00D83C38">
        <w:t>eviews</w:t>
      </w:r>
      <w:r>
        <w:t xml:space="preserve"> current in reporting year</w:t>
      </w:r>
    </w:p>
    <w:p w:rsidR="00306FBA" w:rsidRDefault="00A557FB">
      <w:pPr>
        <w:pStyle w:val="CAR-BodyText-Left"/>
        <w:rPr>
          <w:lang w:val="en-US"/>
        </w:rPr>
      </w:pPr>
      <w:r>
        <w:rPr>
          <w:lang w:val="en-US"/>
        </w:rPr>
        <w:t>As already stated above, p</w:t>
      </w:r>
      <w:r w:rsidR="002E00B3">
        <w:rPr>
          <w:lang w:val="en-US"/>
        </w:rPr>
        <w:t>ursuant to s</w:t>
      </w:r>
      <w:r w:rsidR="004B3C28">
        <w:rPr>
          <w:lang w:val="en-US"/>
        </w:rPr>
        <w:t>ection</w:t>
      </w:r>
      <w:r w:rsidR="002E00B3">
        <w:rPr>
          <w:lang w:val="en-US"/>
        </w:rPr>
        <w:t xml:space="preserve"> </w:t>
      </w:r>
      <w:r w:rsidR="00992963">
        <w:rPr>
          <w:lang w:val="en-US"/>
        </w:rPr>
        <w:t>11 of the ASIC Act, ASIC has</w:t>
      </w:r>
      <w:r w:rsidR="004533AE">
        <w:rPr>
          <w:lang w:val="en-US"/>
        </w:rPr>
        <w:t xml:space="preserve"> the </w:t>
      </w:r>
      <w:r w:rsidR="00992963">
        <w:rPr>
          <w:lang w:val="en-US"/>
        </w:rPr>
        <w:t>function</w:t>
      </w:r>
      <w:r w:rsidR="004533AE">
        <w:rPr>
          <w:lang w:val="en-US"/>
        </w:rPr>
        <w:t xml:space="preserve"> of</w:t>
      </w:r>
      <w:r w:rsidR="00992963">
        <w:rPr>
          <w:lang w:val="en-US"/>
        </w:rPr>
        <w:t xml:space="preserve"> </w:t>
      </w:r>
      <w:r w:rsidR="004533AE">
        <w:rPr>
          <w:lang w:val="en-US"/>
        </w:rPr>
        <w:t>providing</w:t>
      </w:r>
      <w:r w:rsidR="00992963">
        <w:rPr>
          <w:lang w:val="en-US"/>
        </w:rPr>
        <w:t xml:space="preserve"> such staff and support facilities to </w:t>
      </w:r>
      <w:r w:rsidR="00D83F30">
        <w:rPr>
          <w:lang w:val="en-US"/>
        </w:rPr>
        <w:t>CALDB</w:t>
      </w:r>
      <w:r w:rsidR="00992963">
        <w:rPr>
          <w:lang w:val="en-US"/>
        </w:rPr>
        <w:t xml:space="preserve"> as are </w:t>
      </w:r>
      <w:r w:rsidR="00992963" w:rsidRPr="00A557FB">
        <w:rPr>
          <w:lang w:val="en-US"/>
        </w:rPr>
        <w:t xml:space="preserve">necessary or desirable for the performance and </w:t>
      </w:r>
      <w:r w:rsidR="004D225C" w:rsidRPr="00A557FB">
        <w:rPr>
          <w:lang w:val="en-US"/>
        </w:rPr>
        <w:t xml:space="preserve">exercise by CALDB of its functions and powers. CALDB has been informed that ASIC is in the process of reviewing </w:t>
      </w:r>
      <w:r>
        <w:rPr>
          <w:lang w:val="en-US"/>
        </w:rPr>
        <w:t xml:space="preserve">the cost of </w:t>
      </w:r>
      <w:r w:rsidR="004D225C" w:rsidRPr="00A557FB">
        <w:rPr>
          <w:lang w:val="en-US"/>
        </w:rPr>
        <w:t xml:space="preserve">its support to </w:t>
      </w:r>
      <w:r w:rsidR="0039258B" w:rsidRPr="00A557FB">
        <w:rPr>
          <w:lang w:val="en-US"/>
        </w:rPr>
        <w:t>CALDB</w:t>
      </w:r>
      <w:r w:rsidR="004D225C" w:rsidRPr="00A557FB">
        <w:rPr>
          <w:lang w:val="en-US"/>
        </w:rPr>
        <w:t>.</w:t>
      </w:r>
      <w:r>
        <w:rPr>
          <w:lang w:val="en-US"/>
        </w:rPr>
        <w:t xml:space="preserve"> </w:t>
      </w:r>
      <w:r w:rsidR="00D96D40">
        <w:rPr>
          <w:lang w:val="en-US"/>
        </w:rPr>
        <w:t xml:space="preserve">Amongst other things, the review seeks to identify the potential </w:t>
      </w:r>
      <w:r>
        <w:rPr>
          <w:lang w:val="en-US"/>
        </w:rPr>
        <w:t>to reduce costs</w:t>
      </w:r>
      <w:r w:rsidR="00D96D40">
        <w:rPr>
          <w:lang w:val="en-US"/>
        </w:rPr>
        <w:t xml:space="preserve"> </w:t>
      </w:r>
      <w:r w:rsidR="00DA41E0">
        <w:t>including through relocating the Board within ASIC’s premises</w:t>
      </w:r>
      <w:r w:rsidR="00D96D40">
        <w:rPr>
          <w:lang w:val="en-US"/>
        </w:rPr>
        <w:t xml:space="preserve">. </w:t>
      </w:r>
      <w:r w:rsidR="004D225C" w:rsidRPr="00A557FB">
        <w:rPr>
          <w:lang w:val="en-US"/>
        </w:rPr>
        <w:t xml:space="preserve">The independence of CALDB as a disciplinary board charged with making determinations on relevant applications </w:t>
      </w:r>
      <w:r w:rsidR="00D96D40">
        <w:rPr>
          <w:lang w:val="en-US"/>
        </w:rPr>
        <w:t xml:space="preserve">brought before it </w:t>
      </w:r>
      <w:r w:rsidR="004D225C" w:rsidRPr="00A557FB">
        <w:rPr>
          <w:lang w:val="en-US"/>
        </w:rPr>
        <w:t>is a cardinal aspect of the proper performance of its functions. Lik</w:t>
      </w:r>
      <w:r w:rsidR="00D96D40">
        <w:rPr>
          <w:lang w:val="en-US"/>
        </w:rPr>
        <w:t>e</w:t>
      </w:r>
      <w:r w:rsidR="004D225C" w:rsidRPr="00A557FB">
        <w:rPr>
          <w:lang w:val="en-US"/>
        </w:rPr>
        <w:t xml:space="preserve">wise the independent role of CALDB in exercising jurisdiction under </w:t>
      </w:r>
      <w:r w:rsidR="004B3C28">
        <w:rPr>
          <w:lang w:val="en-US"/>
        </w:rPr>
        <w:t>s</w:t>
      </w:r>
      <w:r w:rsidR="004D225C" w:rsidRPr="00A557FB">
        <w:rPr>
          <w:lang w:val="en-US"/>
        </w:rPr>
        <w:t xml:space="preserve">ection 1292 following investigation and application by ASIC </w:t>
      </w:r>
      <w:r w:rsidR="00D96D40">
        <w:rPr>
          <w:lang w:val="en-US"/>
        </w:rPr>
        <w:t xml:space="preserve">itself </w:t>
      </w:r>
      <w:r w:rsidR="004D225C" w:rsidRPr="00A557FB">
        <w:rPr>
          <w:lang w:val="en-US"/>
        </w:rPr>
        <w:t>in respect of  relevant matters assures the right of respondents to due process and enshrines the appropriate separation between investigation and enforcement of regulatory issues and the ultimate decision maker. CALDB looks forward to continued support</w:t>
      </w:r>
      <w:r w:rsidR="008B4DC2">
        <w:rPr>
          <w:lang w:val="en-US"/>
        </w:rPr>
        <w:t xml:space="preserve"> from ASIC so as to facilitate </w:t>
      </w:r>
      <w:r w:rsidR="004D225C" w:rsidRPr="00A557FB">
        <w:rPr>
          <w:lang w:val="en-US"/>
        </w:rPr>
        <w:t>this requirement.</w:t>
      </w:r>
      <w:r w:rsidR="00992963">
        <w:rPr>
          <w:lang w:val="en-US"/>
        </w:rPr>
        <w:t xml:space="preserve"> </w:t>
      </w:r>
    </w:p>
    <w:p w:rsidR="000246D6" w:rsidRPr="00D83C38" w:rsidRDefault="000246D6">
      <w:pPr>
        <w:pStyle w:val="CAR-BodyText-Left"/>
      </w:pPr>
    </w:p>
    <w:p w:rsidR="00306FBA" w:rsidRPr="00D83C38" w:rsidRDefault="00306FBA" w:rsidP="00136A06">
      <w:pPr>
        <w:pStyle w:val="CAR-Heading-1"/>
        <w:outlineLvl w:val="0"/>
      </w:pPr>
      <w:r w:rsidRPr="00D83C38">
        <w:t xml:space="preserve">FOI and section 13 </w:t>
      </w:r>
      <w:proofErr w:type="gramStart"/>
      <w:r w:rsidRPr="00D83C38">
        <w:t>AD(</w:t>
      </w:r>
      <w:proofErr w:type="gramEnd"/>
      <w:r w:rsidRPr="00D83C38">
        <w:t>JR) Act requests</w:t>
      </w:r>
    </w:p>
    <w:p w:rsidR="00EB49D2" w:rsidRDefault="00D83F30">
      <w:pPr>
        <w:pStyle w:val="CAR-BodyText-Left"/>
      </w:pPr>
      <w:r>
        <w:t>CALDB</w:t>
      </w:r>
      <w:r w:rsidR="00306FBA" w:rsidRPr="00D83C38">
        <w:t xml:space="preserve"> did not receive any applications for information under the </w:t>
      </w:r>
      <w:r w:rsidR="00306FBA" w:rsidRPr="00D83C38">
        <w:rPr>
          <w:i/>
        </w:rPr>
        <w:t>Freedom of Information Act 1982</w:t>
      </w:r>
      <w:r w:rsidR="00306FBA" w:rsidRPr="00D83C38">
        <w:t xml:space="preserve"> </w:t>
      </w:r>
      <w:r w:rsidR="00EC02F7" w:rsidRPr="00D83C38">
        <w:t>or</w:t>
      </w:r>
      <w:r w:rsidR="00306FBA" w:rsidRPr="00D83C38">
        <w:t xml:space="preserve"> any requests for reasons pursuant to section 13 of the</w:t>
      </w:r>
      <w:r w:rsidR="002E7EAB">
        <w:t xml:space="preserve"> </w:t>
      </w:r>
      <w:r w:rsidR="00306FBA" w:rsidRPr="00D83C38">
        <w:rPr>
          <w:i/>
        </w:rPr>
        <w:t>Administrative Decisions (Judicial Review) Act 1977</w:t>
      </w:r>
      <w:r w:rsidR="00306FBA" w:rsidRPr="00D83C38">
        <w:t xml:space="preserve"> during the year</w:t>
      </w:r>
      <w:r w:rsidR="006C7A85">
        <w:t>.</w:t>
      </w:r>
    </w:p>
    <w:p w:rsidR="000F687C" w:rsidRDefault="000F687C">
      <w:pPr>
        <w:pStyle w:val="CAR-BodyText-Left"/>
      </w:pPr>
    </w:p>
    <w:p w:rsidR="00CF6D1F" w:rsidRDefault="00306FBA" w:rsidP="000F687C">
      <w:pPr>
        <w:pStyle w:val="CAR-Heading-1"/>
      </w:pPr>
      <w:r w:rsidRPr="00D83C38">
        <w:t>Contact officer</w:t>
      </w:r>
    </w:p>
    <w:p w:rsidR="00306FBA" w:rsidRPr="00D83C38" w:rsidRDefault="00306FBA">
      <w:pPr>
        <w:pStyle w:val="CAR-BodyText-Left"/>
      </w:pPr>
      <w:r w:rsidRPr="00D83C38">
        <w:t xml:space="preserve">The contact officer for this annual report is </w:t>
      </w:r>
    </w:p>
    <w:p w:rsidR="00306FBA" w:rsidRPr="00D83C38" w:rsidRDefault="00306FBA" w:rsidP="000F687C">
      <w:pPr>
        <w:pStyle w:val="CAR-BodyText-Left"/>
        <w:spacing w:after="0"/>
      </w:pPr>
      <w:r w:rsidRPr="00D83C38">
        <w:t>The Registrar</w:t>
      </w:r>
    </w:p>
    <w:p w:rsidR="00306FBA" w:rsidRPr="00D83C38" w:rsidRDefault="00306FBA" w:rsidP="00EB49D2">
      <w:pPr>
        <w:pStyle w:val="CAR-BodyText-Left"/>
        <w:spacing w:after="0" w:line="240" w:lineRule="auto"/>
      </w:pPr>
      <w:r w:rsidRPr="00D83C38">
        <w:t xml:space="preserve">Mr Gary Hoare </w:t>
      </w:r>
    </w:p>
    <w:p w:rsidR="00306FBA" w:rsidRPr="00D83C38" w:rsidRDefault="00306FBA" w:rsidP="00EB49D2">
      <w:pPr>
        <w:pStyle w:val="CAR-BodyText-Left"/>
        <w:spacing w:after="0" w:line="240" w:lineRule="auto"/>
      </w:pPr>
      <w:r w:rsidRPr="00D83C38">
        <w:t>GPO Box 3731</w:t>
      </w:r>
    </w:p>
    <w:p w:rsidR="00306FBA" w:rsidRPr="00D83C38" w:rsidRDefault="00306FBA" w:rsidP="00EB49D2">
      <w:pPr>
        <w:pStyle w:val="CAR-BodyText-Left"/>
        <w:spacing w:after="0" w:line="240" w:lineRule="auto"/>
      </w:pPr>
      <w:r w:rsidRPr="00D83C38">
        <w:t>SYDNEY NSW 2001</w:t>
      </w:r>
    </w:p>
    <w:p w:rsidR="00306FBA" w:rsidRPr="00D83C38" w:rsidRDefault="00306FBA" w:rsidP="00EB49D2">
      <w:pPr>
        <w:pStyle w:val="CAR-BodyText-Left"/>
        <w:spacing w:after="0" w:line="240" w:lineRule="auto"/>
      </w:pPr>
      <w:r w:rsidRPr="00D83C38">
        <w:t>Phone (02) 9911 2970</w:t>
      </w:r>
    </w:p>
    <w:p w:rsidR="00306FBA" w:rsidRPr="00D83C38" w:rsidRDefault="00306FBA" w:rsidP="00EB49D2">
      <w:pPr>
        <w:pStyle w:val="CAR-BodyText-Left"/>
        <w:spacing w:after="0" w:line="240" w:lineRule="auto"/>
      </w:pPr>
      <w:r w:rsidRPr="00D83C38">
        <w:t>Facsimile (02) 9911 2975</w:t>
      </w:r>
    </w:p>
    <w:p w:rsidR="00306FBA" w:rsidRPr="00D83C38" w:rsidRDefault="00306FBA" w:rsidP="00EB49D2">
      <w:pPr>
        <w:pStyle w:val="CAR-BodyText-Left"/>
        <w:spacing w:after="0" w:line="240" w:lineRule="auto"/>
      </w:pPr>
      <w:r w:rsidRPr="00D83C38">
        <w:t xml:space="preserve">Email:  </w:t>
      </w:r>
      <w:hyperlink r:id="rId14" w:history="1">
        <w:r w:rsidRPr="00D83C38">
          <w:rPr>
            <w:rStyle w:val="Hyperlink"/>
          </w:rPr>
          <w:t>gary.hoare@caldb.gov.au</w:t>
        </w:r>
      </w:hyperlink>
    </w:p>
    <w:p w:rsidR="00306FBA" w:rsidRPr="00D83C38" w:rsidRDefault="00306FBA" w:rsidP="00EB49D2">
      <w:pPr>
        <w:pStyle w:val="CAR-BodyText-Left"/>
        <w:spacing w:after="0" w:line="240" w:lineRule="auto"/>
      </w:pPr>
      <w:r w:rsidRPr="00D83C38">
        <w:t>Website:  www.caldb.gov.au</w:t>
      </w:r>
    </w:p>
    <w:p w:rsidR="00306FBA" w:rsidRPr="00D83C38" w:rsidRDefault="00306FBA">
      <w:pPr>
        <w:pStyle w:val="CAR-Heading-5"/>
        <w:tabs>
          <w:tab w:val="left" w:pos="567"/>
        </w:tabs>
        <w:spacing w:after="0"/>
        <w:rPr>
          <w:bCs/>
          <w:sz w:val="22"/>
        </w:rPr>
      </w:pPr>
      <w:r w:rsidRPr="00D83C38">
        <w:br w:type="page"/>
        <w:t>Decisions Gazetted</w:t>
      </w:r>
      <w:r w:rsidRPr="00D83C38">
        <w:br/>
        <w:t>year ended 30 June 201</w:t>
      </w:r>
      <w:r w:rsidR="00F5202E">
        <w:t>3</w:t>
      </w:r>
    </w:p>
    <w:p w:rsidR="00744A1C" w:rsidRDefault="00744A1C" w:rsidP="00744A1C">
      <w:pPr>
        <w:pStyle w:val="CAR-DecisionHead"/>
      </w:pPr>
    </w:p>
    <w:p w:rsidR="00744A1C" w:rsidRDefault="00744A1C" w:rsidP="00744A1C">
      <w:pPr>
        <w:pStyle w:val="CAR-DecisionHead"/>
      </w:pPr>
    </w:p>
    <w:p w:rsidR="00744A1C" w:rsidRDefault="00744A1C" w:rsidP="00744A1C">
      <w:pPr>
        <w:pStyle w:val="CAR-DecisionHead"/>
      </w:pPr>
    </w:p>
    <w:p w:rsidR="00DA41E0" w:rsidRPr="00836D4D" w:rsidRDefault="00A24808" w:rsidP="00744A1C">
      <w:pPr>
        <w:pStyle w:val="CAR-DecisionHead"/>
      </w:pPr>
      <w:r w:rsidRPr="00A24808">
        <w:t>Corporations Act 2001</w:t>
      </w:r>
    </w:p>
    <w:p w:rsidR="00DA41E0" w:rsidRDefault="00DA41E0" w:rsidP="00744A1C">
      <w:pPr>
        <w:pStyle w:val="CAR-DecisionHead"/>
      </w:pPr>
      <w:r>
        <w:t>SECTION 1296(1</w:t>
      </w:r>
      <w:proofErr w:type="gramStart"/>
      <w:r>
        <w:t>)(</w:t>
      </w:r>
      <w:proofErr w:type="gramEnd"/>
      <w:r>
        <w:t>c)</w:t>
      </w:r>
    </w:p>
    <w:p w:rsidR="00DA41E0" w:rsidRDefault="00DA41E0" w:rsidP="00744A1C">
      <w:pPr>
        <w:pStyle w:val="CAR-DecisionHead"/>
      </w:pPr>
      <w:r>
        <w:t>NOTICE OF DECISION</w:t>
      </w:r>
      <w:r>
        <w:rPr>
          <w:rStyle w:val="FootnoteReference"/>
          <w:rFonts w:ascii="Palatino" w:hAnsi="Palatino"/>
          <w:sz w:val="24"/>
        </w:rPr>
        <w:footnoteReference w:id="3"/>
      </w:r>
    </w:p>
    <w:p w:rsidR="00744A1C" w:rsidRDefault="00744A1C" w:rsidP="00744A1C">
      <w:pPr>
        <w:pStyle w:val="CAR-BodyText-Just"/>
      </w:pPr>
    </w:p>
    <w:p w:rsidR="00DA41E0" w:rsidRDefault="00DA41E0" w:rsidP="00744A1C">
      <w:pPr>
        <w:pStyle w:val="CAR-BodyText-Just"/>
        <w:rPr>
          <w:b/>
          <w:bCs/>
        </w:rPr>
      </w:pPr>
      <w:r>
        <w:t xml:space="preserve">At a hearing held on 3 April 2013 pursuant to section 1294 of the Corporations Act 2001 ("Act"), a Panel of the Companies Auditors and Liquidators Disciplinary Board decided that it was satisfied, on an application by the </w:t>
      </w:r>
      <w:r>
        <w:rPr>
          <w:noProof/>
        </w:rPr>
        <w:t>Australian Securities and Investments Commission</w:t>
      </w:r>
      <w:r>
        <w:t xml:space="preserve"> for </w:t>
      </w:r>
      <w:r>
        <w:rPr>
          <w:b/>
          <w:bCs/>
        </w:rPr>
        <w:t>Joseph MANGRAVITI</w:t>
      </w:r>
      <w:r>
        <w:t xml:space="preserve"> ("Respondent"), a registered auditor, to be dealt with under section </w:t>
      </w:r>
      <w:r>
        <w:rPr>
          <w:noProof/>
        </w:rPr>
        <w:t>1292</w:t>
      </w:r>
      <w:r>
        <w:t xml:space="preserve"> of the Act, that the Respondent was disqualified from managing corporations under Part 2D.6 of the Act and as a result the Board must cancel the Respondent's registration in accordance with section 1292(7) of the Act.  The Panel ordered that the Respondent's registration as an auditor be cancelled.</w:t>
      </w:r>
    </w:p>
    <w:p w:rsidR="00744A1C" w:rsidRDefault="00744A1C" w:rsidP="00744A1C">
      <w:pPr>
        <w:pStyle w:val="CAR-DecisionFoot-1"/>
      </w:pPr>
    </w:p>
    <w:p w:rsidR="00DA41E0" w:rsidRDefault="00DA41E0" w:rsidP="00744A1C">
      <w:pPr>
        <w:pStyle w:val="CAR-DecisionFoot-1"/>
      </w:pPr>
      <w:r>
        <w:t>Dated:</w:t>
      </w:r>
      <w:r>
        <w:tab/>
        <w:t>12 April 2013</w:t>
      </w:r>
    </w:p>
    <w:p w:rsidR="00744A1C" w:rsidRDefault="00744A1C" w:rsidP="00744A1C">
      <w:pPr>
        <w:pStyle w:val="CAR-DecisionFoot-2"/>
      </w:pPr>
    </w:p>
    <w:p w:rsidR="00DA41E0" w:rsidRDefault="00DA41E0" w:rsidP="00744A1C">
      <w:pPr>
        <w:pStyle w:val="CAR-DecisionFoot-2"/>
        <w:rPr>
          <w:bCs/>
          <w:sz w:val="24"/>
        </w:rPr>
      </w:pPr>
      <w:r>
        <w:t>Gary K Hoare</w:t>
      </w:r>
    </w:p>
    <w:p w:rsidR="00F5335D" w:rsidRDefault="00744A1C" w:rsidP="00624284">
      <w:pPr>
        <w:pStyle w:val="CAR-DecisionFoot-2"/>
      </w:pPr>
      <w:r>
        <w:t>Registrar</w:t>
      </w:r>
    </w:p>
    <w:sectPr w:rsidR="00F5335D" w:rsidSect="00BF20BF">
      <w:headerReference w:type="default" r:id="rId15"/>
      <w:footerReference w:type="default" r:id="rId16"/>
      <w:pgSz w:w="11907" w:h="16834" w:code="9"/>
      <w:pgMar w:top="2466" w:right="2098" w:bottom="2466" w:left="2098" w:header="1899" w:footer="189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B3D" w:rsidRDefault="007D5B3D">
      <w:r>
        <w:separator/>
      </w:r>
    </w:p>
  </w:endnote>
  <w:endnote w:type="continuationSeparator" w:id="0">
    <w:p w:rsidR="007D5B3D" w:rsidRDefault="007D5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alatino">
    <w:panose1 w:val="0202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3D" w:rsidRDefault="007D5B3D">
    <w:pPr>
      <w:pStyle w:val="Footer"/>
      <w:framePr w:wrap="around" w:vAnchor="text" w:hAnchor="margin" w:xAlign="right" w:y="1"/>
      <w:rPr>
        <w:rStyle w:val="PageNumber"/>
        <w:rFonts w:ascii="Book Antiqua" w:hAnsi="Book Antiqua"/>
        <w:color w:val="000000"/>
        <w:sz w:val="20"/>
      </w:rPr>
    </w:pPr>
  </w:p>
  <w:p w:rsidR="007D5B3D" w:rsidRDefault="007D5B3D">
    <w:pPr>
      <w:pStyle w:val="Footer"/>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3D" w:rsidRDefault="007D5B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3D" w:rsidRDefault="00A33E37">
    <w:pPr>
      <w:pStyle w:val="Footer"/>
      <w:jc w:val="center"/>
    </w:pPr>
    <w:r>
      <w:rPr>
        <w:rStyle w:val="PageNumber"/>
      </w:rPr>
      <w:fldChar w:fldCharType="begin"/>
    </w:r>
    <w:r w:rsidR="007D5B3D">
      <w:rPr>
        <w:rStyle w:val="PageNumber"/>
      </w:rPr>
      <w:instrText xml:space="preserve"> PAGE </w:instrText>
    </w:r>
    <w:r>
      <w:rPr>
        <w:rStyle w:val="PageNumber"/>
      </w:rPr>
      <w:fldChar w:fldCharType="separate"/>
    </w:r>
    <w:r w:rsidR="00A25318">
      <w:rPr>
        <w:rStyle w:val="PageNumber"/>
        <w:noProof/>
      </w:rPr>
      <w:t>16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B3D" w:rsidRDefault="007D5B3D">
      <w:r>
        <w:separator/>
      </w:r>
    </w:p>
  </w:footnote>
  <w:footnote w:type="continuationSeparator" w:id="0">
    <w:p w:rsidR="007D5B3D" w:rsidRDefault="007D5B3D">
      <w:r>
        <w:continuationSeparator/>
      </w:r>
    </w:p>
  </w:footnote>
  <w:footnote w:id="1">
    <w:p w:rsidR="007D5B3D" w:rsidRDefault="007D5B3D" w:rsidP="00615C01">
      <w:pPr>
        <w:pStyle w:val="FootnoteText"/>
      </w:pPr>
      <w:r>
        <w:rPr>
          <w:rStyle w:val="FootnoteReference"/>
        </w:rPr>
        <w:footnoteRef/>
      </w:r>
      <w:r>
        <w:t xml:space="preserve"> Appointed Deputy Chairperson on 6 August 2013, outside the reporting year.</w:t>
      </w:r>
    </w:p>
  </w:footnote>
  <w:footnote w:id="2">
    <w:p w:rsidR="007D5B3D" w:rsidRDefault="007D5B3D" w:rsidP="00615C01">
      <w:pPr>
        <w:pStyle w:val="FootnoteText"/>
      </w:pPr>
      <w:r>
        <w:rPr>
          <w:rStyle w:val="FootnoteReference"/>
        </w:rPr>
        <w:footnoteRef/>
      </w:r>
      <w:r>
        <w:t xml:space="preserve"> Appointed Acting Deputy Chairperson for a period of three months.</w:t>
      </w:r>
    </w:p>
  </w:footnote>
  <w:footnote w:id="3">
    <w:p w:rsidR="007D5B3D" w:rsidRDefault="007D5B3D" w:rsidP="00DA41E0">
      <w:pPr>
        <w:pStyle w:val="FootnoteText"/>
        <w:numPr>
          <w:ilvl w:val="0"/>
          <w:numId w:val="39"/>
        </w:numPr>
        <w:tabs>
          <w:tab w:val="clear" w:pos="283"/>
          <w:tab w:val="left" w:pos="284"/>
        </w:tabs>
        <w:ind w:left="284" w:hanging="284"/>
      </w:pPr>
      <w:r>
        <w:rPr>
          <w:rStyle w:val="FootnoteReference"/>
        </w:rPr>
        <w:footnoteRef/>
      </w:r>
      <w:r>
        <w:t xml:space="preserve"> This was an application to the Board under s 1292(7), which relates to persons disqualified from managing corporations. The Board has no discretion under s 1292(7) in relation to a person disqualified and must cancel registration. The Board cancelled the Respondent’s registration because he was disqualified at the time of the Board hearing on 3 April 2013. After the orders of the Board were made and gazetted, the Respondent ceased to be a person disqualified (on 23 May 2013). On that basis, on 25 July 2013, ASIC consented to the AAT overturning the decision of the Board.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3D" w:rsidRDefault="007D5B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3D" w:rsidRDefault="00A33E37">
    <w:pPr>
      <w:pStyle w:val="Header"/>
      <w:framePr w:wrap="around" w:vAnchor="text" w:hAnchor="margin" w:xAlign="center" w:y="1"/>
      <w:rPr>
        <w:rStyle w:val="PageNumber"/>
        <w:rFonts w:ascii="Book Antiqua" w:hAnsi="Book Antiqua"/>
        <w:color w:val="000000"/>
        <w:sz w:val="20"/>
      </w:rPr>
    </w:pPr>
    <w:r>
      <w:rPr>
        <w:rStyle w:val="PageNumber"/>
      </w:rPr>
      <w:fldChar w:fldCharType="begin"/>
    </w:r>
    <w:r w:rsidR="007D5B3D">
      <w:rPr>
        <w:rStyle w:val="PageNumber"/>
      </w:rPr>
      <w:instrText xml:space="preserve">PAGE  </w:instrText>
    </w:r>
    <w:r>
      <w:rPr>
        <w:rStyle w:val="PageNumber"/>
      </w:rPr>
      <w:fldChar w:fldCharType="separate"/>
    </w:r>
    <w:r w:rsidR="007D5B3D">
      <w:rPr>
        <w:rStyle w:val="PageNumber"/>
        <w:noProof/>
      </w:rPr>
      <w:t>7</w:t>
    </w:r>
    <w:r>
      <w:rPr>
        <w:rStyle w:val="PageNumber"/>
      </w:rPr>
      <w:fldChar w:fldCharType="end"/>
    </w:r>
  </w:p>
  <w:p w:rsidR="007D5B3D" w:rsidRDefault="007D5B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3D" w:rsidRDefault="007D5B3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3D" w:rsidRPr="007B2692" w:rsidRDefault="007D5B3D" w:rsidP="007B26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B5F"/>
    <w:multiLevelType w:val="hybridMultilevel"/>
    <w:tmpl w:val="633C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C49DC"/>
    <w:multiLevelType w:val="hybridMultilevel"/>
    <w:tmpl w:val="819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1199D"/>
    <w:multiLevelType w:val="hybridMultilevel"/>
    <w:tmpl w:val="BDB8C762"/>
    <w:lvl w:ilvl="0" w:tplc="18E2F75C">
      <w:start w:val="1"/>
      <w:numFmt w:val="lowerRoman"/>
      <w:pStyle w:val="Style1"/>
      <w:lvlText w:val="(%1)"/>
      <w:lvlJc w:val="left"/>
      <w:pPr>
        <w:tabs>
          <w:tab w:val="num" w:pos="1287"/>
        </w:tabs>
        <w:ind w:left="1134"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0B3439"/>
    <w:multiLevelType w:val="multilevel"/>
    <w:tmpl w:val="1E8ADF78"/>
    <w:lvl w:ilvl="0">
      <w:start w:val="1"/>
      <w:numFmt w:val="lowerLetter"/>
      <w:lvlRestart w:val="0"/>
      <w:pStyle w:val="AlphaLevel4"/>
      <w:lvlText w:val="%1)"/>
      <w:lvlJc w:val="left"/>
      <w:pPr>
        <w:tabs>
          <w:tab w:val="num" w:pos="1134"/>
        </w:tabs>
        <w:ind w:left="1134"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nsid w:val="17DB61FD"/>
    <w:multiLevelType w:val="hybridMultilevel"/>
    <w:tmpl w:val="4268E350"/>
    <w:lvl w:ilvl="0" w:tplc="0458F630">
      <w:start w:val="1"/>
      <w:numFmt w:val="decimal"/>
      <w:pStyle w:val="CAR-Flush-Number"/>
      <w:lvlText w:val="%1."/>
      <w:lvlJc w:val="left"/>
      <w:pPr>
        <w:tabs>
          <w:tab w:val="num" w:pos="567"/>
        </w:tabs>
        <w:ind w:left="567"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960FD"/>
    <w:multiLevelType w:val="multilevel"/>
    <w:tmpl w:val="352C57DA"/>
    <w:name w:val="OneLevelNumberedParagraphList"/>
    <w:lvl w:ilvl="0">
      <w:start w:val="1"/>
      <w:numFmt w:val="decimal"/>
      <w:lvlRestart w:val="0"/>
      <w:pStyle w:val="TOC4"/>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6">
    <w:nsid w:val="1DD07003"/>
    <w:multiLevelType w:val="hybridMultilevel"/>
    <w:tmpl w:val="C7C43FF4"/>
    <w:lvl w:ilvl="0" w:tplc="553A0CB8">
      <w:start w:val="1"/>
      <w:numFmt w:val="lowerLetter"/>
      <w:pStyle w:val="CAR-Flush-Alpha-Lower"/>
      <w:lvlText w:val="(%1)"/>
      <w:lvlJc w:val="left"/>
      <w:pPr>
        <w:tabs>
          <w:tab w:val="num" w:pos="567"/>
        </w:tabs>
        <w:ind w:left="567"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B15C6D"/>
    <w:multiLevelType w:val="hybridMultilevel"/>
    <w:tmpl w:val="F246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461D2"/>
    <w:multiLevelType w:val="hybridMultilevel"/>
    <w:tmpl w:val="050612EE"/>
    <w:lvl w:ilvl="0" w:tplc="68028768">
      <w:start w:val="1"/>
      <w:numFmt w:val="decimal"/>
      <w:pStyle w:val="NumLarge-1"/>
      <w:lvlText w:val="%1."/>
      <w:lvlJc w:val="left"/>
      <w:pPr>
        <w:tabs>
          <w:tab w:val="num" w:pos="709"/>
        </w:tabs>
        <w:ind w:left="709" w:hanging="709"/>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616E05"/>
    <w:multiLevelType w:val="singleLevel"/>
    <w:tmpl w:val="5A7221F2"/>
    <w:name w:val="StandardNumberedParagraphList"/>
    <w:lvl w:ilvl="0">
      <w:start w:val="2"/>
      <w:numFmt w:val="decimal"/>
      <w:lvlText w:val="%1."/>
      <w:lvlJc w:val="left"/>
      <w:pPr>
        <w:tabs>
          <w:tab w:val="num" w:pos="567"/>
        </w:tabs>
        <w:ind w:left="0" w:firstLine="0"/>
      </w:pPr>
    </w:lvl>
  </w:abstractNum>
  <w:abstractNum w:abstractNumId="10">
    <w:nsid w:val="244237C5"/>
    <w:multiLevelType w:val="multilevel"/>
    <w:tmpl w:val="F0BE3518"/>
    <w:name w:val="StandardNumberedList"/>
    <w:lvl w:ilvl="0">
      <w:start w:val="1"/>
      <w:numFmt w:val="decimal"/>
      <w:lvlRestart w:val="0"/>
      <w:pStyle w:val="DoubleDot"/>
      <w:lvlText w:val="%1."/>
      <w:lvlJc w:val="left"/>
      <w:pPr>
        <w:tabs>
          <w:tab w:val="num" w:pos="567"/>
        </w:tabs>
        <w:ind w:left="567" w:hanging="567"/>
      </w:pPr>
      <w:rPr>
        <w:b w:val="0"/>
        <w:i w:val="0"/>
      </w:rPr>
    </w:lvl>
    <w:lvl w:ilvl="1">
      <w:start w:val="1"/>
      <w:numFmt w:val="decimal"/>
      <w:pStyle w:val="OutlineNumbered1"/>
      <w:lvlText w:val="%1.%2."/>
      <w:lvlJc w:val="left"/>
      <w:pPr>
        <w:tabs>
          <w:tab w:val="num" w:pos="1134"/>
        </w:tabs>
        <w:ind w:left="1134" w:hanging="567"/>
      </w:pPr>
      <w:rPr>
        <w:b w:val="0"/>
        <w:i w:val="0"/>
      </w:rPr>
    </w:lvl>
    <w:lvl w:ilvl="2">
      <w:start w:val="1"/>
      <w:numFmt w:val="decimal"/>
      <w:pStyle w:val="OutlineNumbered2"/>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nsid w:val="249762F8"/>
    <w:multiLevelType w:val="hybridMultilevel"/>
    <w:tmpl w:val="37146CDA"/>
    <w:lvl w:ilvl="0" w:tplc="92402CD6">
      <w:start w:val="1"/>
      <w:numFmt w:val="lowerRoman"/>
      <w:pStyle w:val="CAR-Indent-Roman-2"/>
      <w:lvlText w:val="(%1)"/>
      <w:lvlJc w:val="left"/>
      <w:pPr>
        <w:tabs>
          <w:tab w:val="num" w:pos="2138"/>
        </w:tabs>
        <w:ind w:left="1843" w:hanging="425"/>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8E67AC"/>
    <w:multiLevelType w:val="hybridMultilevel"/>
    <w:tmpl w:val="28BAB42E"/>
    <w:lvl w:ilvl="0" w:tplc="B18A7B94">
      <w:start w:val="1"/>
      <w:numFmt w:val="lowerRoman"/>
      <w:pStyle w:val="NumSmall-3"/>
      <w:lvlText w:val="(%1)"/>
      <w:lvlJc w:val="left"/>
      <w:pPr>
        <w:tabs>
          <w:tab w:val="num" w:pos="2127"/>
        </w:tabs>
        <w:ind w:left="2127" w:hanging="709"/>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440C8B"/>
    <w:multiLevelType w:val="multilevel"/>
    <w:tmpl w:val="4440A37E"/>
    <w:name w:val="StandardBulletedList"/>
    <w:lvl w:ilvl="0">
      <w:start w:val="1"/>
      <w:numFmt w:val="bullet"/>
      <w:lvlRestart w:val="0"/>
      <w:pStyle w:val="FootnoteText"/>
      <w:lvlText w:val="•"/>
      <w:lvlJc w:val="left"/>
      <w:pPr>
        <w:tabs>
          <w:tab w:val="num" w:pos="283"/>
        </w:tabs>
        <w:ind w:left="283" w:hanging="283"/>
      </w:pPr>
      <w:rPr>
        <w:rFonts w:ascii="Times New Roman" w:hAnsi="Times New Roman" w:cs="Times New Roman"/>
        <w:b w:val="0"/>
        <w:i w:val="0"/>
      </w:rPr>
    </w:lvl>
    <w:lvl w:ilvl="1">
      <w:start w:val="1"/>
      <w:numFmt w:val="bullet"/>
      <w:pStyle w:val="Bullet"/>
      <w:lvlText w:val="–"/>
      <w:lvlJc w:val="left"/>
      <w:pPr>
        <w:tabs>
          <w:tab w:val="num" w:pos="567"/>
        </w:tabs>
        <w:ind w:left="567" w:hanging="284"/>
      </w:pPr>
      <w:rPr>
        <w:rFonts w:ascii="Times New Roman" w:hAnsi="Times New Roman" w:cs="Times New Roman"/>
        <w:b w:val="0"/>
        <w:i w:val="0"/>
      </w:rPr>
    </w:lvl>
    <w:lvl w:ilvl="2">
      <w:start w:val="1"/>
      <w:numFmt w:val="bullet"/>
      <w:pStyle w:val="Dash"/>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2D665DFA"/>
    <w:multiLevelType w:val="singleLevel"/>
    <w:tmpl w:val="A6CEACD8"/>
    <w:lvl w:ilvl="0">
      <w:start w:val="1"/>
      <w:numFmt w:val="lowerLetter"/>
      <w:lvlRestart w:val="0"/>
      <w:pStyle w:val="OutlineNumbered3"/>
      <w:lvlText w:val="(%1)"/>
      <w:lvlJc w:val="left"/>
      <w:pPr>
        <w:tabs>
          <w:tab w:val="num" w:pos="567"/>
        </w:tabs>
        <w:ind w:left="567" w:hanging="567"/>
      </w:pPr>
      <w:rPr>
        <w:rFonts w:ascii="Book Antiqua" w:hAnsi="Book Antiqua"/>
        <w:b w:val="0"/>
        <w:i w:val="0"/>
        <w:sz w:val="20"/>
      </w:rPr>
    </w:lvl>
  </w:abstractNum>
  <w:abstractNum w:abstractNumId="15">
    <w:nsid w:val="2E5B0464"/>
    <w:multiLevelType w:val="hybridMultilevel"/>
    <w:tmpl w:val="2EA84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E07419"/>
    <w:multiLevelType w:val="hybridMultilevel"/>
    <w:tmpl w:val="E610A820"/>
    <w:lvl w:ilvl="0" w:tplc="490A7074">
      <w:start w:val="1"/>
      <w:numFmt w:val="upperLetter"/>
      <w:pStyle w:val="CAR-Flush-Alpha-Upper"/>
      <w:lvlText w:val="%1."/>
      <w:lvlJc w:val="left"/>
      <w:pPr>
        <w:tabs>
          <w:tab w:val="num" w:pos="567"/>
        </w:tabs>
        <w:ind w:left="567"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0A2F2A"/>
    <w:multiLevelType w:val="hybridMultilevel"/>
    <w:tmpl w:val="E468E5C6"/>
    <w:lvl w:ilvl="0" w:tplc="E3D066A8">
      <w:start w:val="1"/>
      <w:numFmt w:val="decimal"/>
      <w:pStyle w:val="CAR-Indent-Number"/>
      <w:lvlText w:val="%1."/>
      <w:lvlJc w:val="left"/>
      <w:pPr>
        <w:tabs>
          <w:tab w:val="num" w:pos="1134"/>
        </w:tabs>
        <w:ind w:left="1134"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82656C"/>
    <w:multiLevelType w:val="hybridMultilevel"/>
    <w:tmpl w:val="4E3494BC"/>
    <w:lvl w:ilvl="0" w:tplc="32626696">
      <w:start w:val="1"/>
      <w:numFmt w:val="bullet"/>
      <w:pStyle w:val="CAR-Bullet-2"/>
      <w:lvlText w:val=""/>
      <w:lvlJc w:val="left"/>
      <w:pPr>
        <w:tabs>
          <w:tab w:val="num" w:pos="1494"/>
        </w:tabs>
        <w:ind w:left="1418" w:hanging="284"/>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A40BAF"/>
    <w:multiLevelType w:val="hybridMultilevel"/>
    <w:tmpl w:val="DEA049DA"/>
    <w:name w:val="StandardBulletedList2"/>
    <w:lvl w:ilvl="0" w:tplc="430A5C06">
      <w:start w:val="1"/>
      <w:numFmt w:val="bullet"/>
      <w:pStyle w:val="CAR-Bullet-1"/>
      <w:lvlText w:val=""/>
      <w:lvlJc w:val="left"/>
      <w:pPr>
        <w:tabs>
          <w:tab w:val="num" w:pos="567"/>
        </w:tabs>
        <w:ind w:left="567" w:hanging="567"/>
      </w:pPr>
      <w:rPr>
        <w:rFonts w:ascii="Wingdings" w:hAnsi="Wingding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3532A3"/>
    <w:multiLevelType w:val="hybridMultilevel"/>
    <w:tmpl w:val="41C46536"/>
    <w:lvl w:ilvl="0" w:tplc="A73AD3A6">
      <w:start w:val="1"/>
      <w:numFmt w:val="bullet"/>
      <w:pStyle w:val="CAR-Indent-Asterisk"/>
      <w:lvlText w:val="*"/>
      <w:lvlJc w:val="left"/>
      <w:pPr>
        <w:tabs>
          <w:tab w:val="num" w:pos="1134"/>
        </w:tabs>
        <w:ind w:left="1134" w:hanging="567"/>
      </w:pPr>
      <w:rPr>
        <w:rFonts w:ascii="Book Antiqua" w:hAnsi="Book Antiqua"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806AF5"/>
    <w:multiLevelType w:val="multilevel"/>
    <w:tmpl w:val="B5561354"/>
    <w:name w:val="RomanNumeralJustified"/>
    <w:lvl w:ilvl="0">
      <w:start w:val="1"/>
      <w:numFmt w:val="lowerRoman"/>
      <w:lvlRestart w:val="0"/>
      <w:lvlText w:val="(i)"/>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43AC6856"/>
    <w:multiLevelType w:val="hybridMultilevel"/>
    <w:tmpl w:val="EAF2DACA"/>
    <w:lvl w:ilvl="0" w:tplc="527E1E94">
      <w:start w:val="1"/>
      <w:numFmt w:val="lowerLetter"/>
      <w:pStyle w:val="CAR-Indent-Alpha-lower"/>
      <w:lvlText w:val="(%1)"/>
      <w:lvlJc w:val="left"/>
      <w:pPr>
        <w:tabs>
          <w:tab w:val="num" w:pos="1418"/>
        </w:tabs>
        <w:ind w:left="1418" w:hanging="709"/>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662149"/>
    <w:multiLevelType w:val="multilevel"/>
    <w:tmpl w:val="CD98B952"/>
    <w:name w:val="LD_Standard"/>
    <w:lvl w:ilvl="0">
      <w:start w:val="1"/>
      <w:numFmt w:val="none"/>
      <w:pStyle w:val="LDStandard1"/>
      <w:suff w:val="nothing"/>
      <w:lvlText w:val="%1"/>
      <w:lvlJc w:val="left"/>
      <w:pPr>
        <w:ind w:left="0" w:firstLine="0"/>
      </w:pPr>
      <w:rPr>
        <w:rFonts w:cs="Times New Roman" w:hint="default"/>
      </w:rPr>
    </w:lvl>
    <w:lvl w:ilvl="1">
      <w:start w:val="1"/>
      <w:numFmt w:val="decimal"/>
      <w:pStyle w:val="LDStandard2"/>
      <w:lvlText w:val="%2%1."/>
      <w:lvlJc w:val="left"/>
      <w:pPr>
        <w:tabs>
          <w:tab w:val="num" w:pos="709"/>
        </w:tabs>
        <w:ind w:left="709" w:hanging="709"/>
      </w:pPr>
      <w:rPr>
        <w:rFonts w:cs="Times New Roman" w:hint="default"/>
      </w:rPr>
    </w:lvl>
    <w:lvl w:ilvl="2">
      <w:start w:val="1"/>
      <w:numFmt w:val="lowerLetter"/>
      <w:pStyle w:val="LDStandard3"/>
      <w:lvlText w:val="(%3)"/>
      <w:lvlJc w:val="left"/>
      <w:pPr>
        <w:tabs>
          <w:tab w:val="num" w:pos="1417"/>
        </w:tabs>
        <w:ind w:left="1417" w:hanging="708"/>
      </w:pPr>
      <w:rPr>
        <w:rFonts w:cs="Times New Roman" w:hint="default"/>
      </w:rPr>
    </w:lvl>
    <w:lvl w:ilvl="3">
      <w:start w:val="1"/>
      <w:numFmt w:val="lowerRoman"/>
      <w:pStyle w:val="LDStandard4"/>
      <w:lvlText w:val="(%4%1)"/>
      <w:lvlJc w:val="left"/>
      <w:pPr>
        <w:tabs>
          <w:tab w:val="num" w:pos="2126"/>
        </w:tabs>
        <w:ind w:left="2126" w:hanging="709"/>
      </w:pPr>
      <w:rPr>
        <w:rFonts w:cs="Times New Roman" w:hint="default"/>
      </w:rPr>
    </w:lvl>
    <w:lvl w:ilvl="4">
      <w:start w:val="1"/>
      <w:numFmt w:val="upperLetter"/>
      <w:pStyle w:val="LDStandard5"/>
      <w:lvlText w:val="(%5%1)"/>
      <w:lvlJc w:val="left"/>
      <w:pPr>
        <w:tabs>
          <w:tab w:val="num" w:pos="2835"/>
        </w:tabs>
        <w:ind w:left="2835" w:hanging="709"/>
      </w:pPr>
      <w:rPr>
        <w:rFonts w:cs="Times New Roman" w:hint="default"/>
      </w:rPr>
    </w:lvl>
    <w:lvl w:ilvl="5">
      <w:start w:val="1"/>
      <w:numFmt w:val="decimal"/>
      <w:pStyle w:val="LDStandard6"/>
      <w:lvlText w:val="(%6%1)"/>
      <w:lvlJc w:val="left"/>
      <w:pPr>
        <w:tabs>
          <w:tab w:val="num" w:pos="3544"/>
        </w:tabs>
        <w:ind w:left="3544"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24">
    <w:nsid w:val="47AA08CF"/>
    <w:multiLevelType w:val="hybridMultilevel"/>
    <w:tmpl w:val="49E8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BD768A"/>
    <w:multiLevelType w:val="hybridMultilevel"/>
    <w:tmpl w:val="C262C1F8"/>
    <w:lvl w:ilvl="0" w:tplc="CB7CCFC4">
      <w:start w:val="1"/>
      <w:numFmt w:val="decimal"/>
      <w:pStyle w:val="Outline-6"/>
      <w:lvlText w:val="%1."/>
      <w:lvlJc w:val="left"/>
      <w:pPr>
        <w:tabs>
          <w:tab w:val="num" w:pos="851"/>
        </w:tabs>
        <w:ind w:left="851" w:hanging="426"/>
      </w:pPr>
      <w:rPr>
        <w:rFonts w:hint="default"/>
        <w:b w:val="0"/>
        <w:i w:val="0"/>
      </w:rPr>
    </w:lvl>
    <w:lvl w:ilvl="1" w:tplc="34CCF054">
      <w:start w:val="1"/>
      <w:numFmt w:val="lowerLetter"/>
      <w:lvlText w:val="(%2)"/>
      <w:lvlJc w:val="left"/>
      <w:pPr>
        <w:tabs>
          <w:tab w:val="num" w:pos="1647"/>
        </w:tabs>
        <w:ind w:left="1647" w:hanging="567"/>
      </w:pPr>
      <w:rPr>
        <w:rFonts w:ascii="Palatino" w:hAnsi="Palatino" w:hint="default"/>
        <w:b w:val="0"/>
        <w:i w:val="0"/>
        <w:sz w:val="24"/>
      </w:rPr>
    </w:lvl>
    <w:lvl w:ilvl="2" w:tplc="9852F810">
      <w:start w:val="1"/>
      <w:numFmt w:val="lowerRoman"/>
      <w:lvlText w:val="(%3)"/>
      <w:lvlJc w:val="left"/>
      <w:pPr>
        <w:tabs>
          <w:tab w:val="num" w:pos="2421"/>
        </w:tabs>
        <w:ind w:left="2126" w:hanging="425"/>
      </w:pPr>
      <w:rPr>
        <w:rFonts w:ascii="Palatino" w:hAnsi="Palatino" w:hint="default"/>
        <w:b w:val="0"/>
        <w:i w:val="0"/>
        <w:sz w:val="24"/>
      </w:rPr>
    </w:lvl>
    <w:lvl w:ilvl="3" w:tplc="E36071CA">
      <w:start w:val="1"/>
      <w:numFmt w:val="lowerLetter"/>
      <w:lvlText w:val="(%4)"/>
      <w:lvlJc w:val="left"/>
      <w:pPr>
        <w:tabs>
          <w:tab w:val="num" w:pos="3087"/>
        </w:tabs>
        <w:ind w:left="3087" w:hanging="567"/>
      </w:pPr>
      <w:rPr>
        <w:rFonts w:ascii="Palatino" w:hAnsi="Palatino" w:hint="default"/>
        <w:b w:val="0"/>
        <w:i/>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E06931"/>
    <w:multiLevelType w:val="singleLevel"/>
    <w:tmpl w:val="4366EF18"/>
    <w:name w:val="ChartTableFootnoteAlpha"/>
    <w:lvl w:ilvl="0">
      <w:start w:val="1"/>
      <w:numFmt w:val="lowerLetter"/>
      <w:lvlRestart w:val="0"/>
      <w:pStyle w:val="BoxTextBase"/>
      <w:lvlText w:val="(%1)"/>
      <w:lvlJc w:val="left"/>
      <w:pPr>
        <w:tabs>
          <w:tab w:val="num" w:pos="283"/>
        </w:tabs>
        <w:ind w:left="283" w:hanging="283"/>
      </w:pPr>
      <w:rPr>
        <w:rFonts w:ascii="Arial" w:hAnsi="Arial" w:cs="Arial" w:hint="default"/>
        <w:b w:val="0"/>
        <w:i w:val="0"/>
        <w:sz w:val="16"/>
      </w:rPr>
    </w:lvl>
  </w:abstractNum>
  <w:abstractNum w:abstractNumId="27">
    <w:nsid w:val="4E86262C"/>
    <w:multiLevelType w:val="hybridMultilevel"/>
    <w:tmpl w:val="595A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242637"/>
    <w:multiLevelType w:val="hybridMultilevel"/>
    <w:tmpl w:val="B0B0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560D02"/>
    <w:multiLevelType w:val="hybridMultilevel"/>
    <w:tmpl w:val="B406E3BA"/>
    <w:lvl w:ilvl="0" w:tplc="E2381D78">
      <w:start w:val="1"/>
      <w:numFmt w:val="lowerLetter"/>
      <w:pStyle w:val="AlphaLower-2"/>
      <w:lvlText w:val="(%1)"/>
      <w:lvlJc w:val="left"/>
      <w:pPr>
        <w:tabs>
          <w:tab w:val="num" w:pos="1418"/>
        </w:tabs>
        <w:ind w:left="1418" w:hanging="709"/>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90242E"/>
    <w:multiLevelType w:val="hybridMultilevel"/>
    <w:tmpl w:val="9FB4500A"/>
    <w:lvl w:ilvl="0" w:tplc="ADB69EBA">
      <w:start w:val="1"/>
      <w:numFmt w:val="upperLetter"/>
      <w:pStyle w:val="CAR-Indent-Alpha-Upper"/>
      <w:lvlText w:val="(%1)"/>
      <w:lvlJc w:val="left"/>
      <w:pPr>
        <w:tabs>
          <w:tab w:val="num" w:pos="1843"/>
        </w:tabs>
        <w:ind w:left="1843"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101827"/>
    <w:multiLevelType w:val="multilevel"/>
    <w:tmpl w:val="072C6E52"/>
    <w:name w:val="BoxBulletedList"/>
    <w:lvl w:ilvl="0">
      <w:start w:val="1"/>
      <w:numFmt w:val="bullet"/>
      <w:lvlRestart w:val="0"/>
      <w:pStyle w:val="OneLevelNumberedParagraph"/>
      <w:lvlText w:val="•"/>
      <w:lvlJc w:val="left"/>
      <w:pPr>
        <w:tabs>
          <w:tab w:val="num" w:pos="283"/>
        </w:tabs>
        <w:ind w:left="283" w:hanging="283"/>
      </w:pPr>
      <w:rPr>
        <w:rFonts w:ascii="Times New Roman" w:hAnsi="Times New Roman" w:cs="Times New Roman"/>
        <w:b w:val="0"/>
        <w:i w:val="0"/>
        <w:sz w:val="20"/>
      </w:rPr>
    </w:lvl>
    <w:lvl w:ilvl="1">
      <w:start w:val="1"/>
      <w:numFmt w:val="bullet"/>
      <w:pStyle w:val="BoxBullet"/>
      <w:lvlText w:val="–"/>
      <w:lvlJc w:val="left"/>
      <w:pPr>
        <w:tabs>
          <w:tab w:val="num" w:pos="567"/>
        </w:tabs>
        <w:ind w:left="567" w:hanging="284"/>
      </w:pPr>
      <w:rPr>
        <w:b w:val="0"/>
        <w:i w:val="0"/>
      </w:rPr>
    </w:lvl>
    <w:lvl w:ilvl="2">
      <w:start w:val="1"/>
      <w:numFmt w:val="bullet"/>
      <w:pStyle w:val="BoxDash"/>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2">
    <w:nsid w:val="581B5953"/>
    <w:multiLevelType w:val="hybridMultilevel"/>
    <w:tmpl w:val="3E9E8A3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3">
    <w:nsid w:val="5E0A6F8D"/>
    <w:multiLevelType w:val="multilevel"/>
    <w:tmpl w:val="51941ED6"/>
    <w:name w:val="RecommendationBulletedList"/>
    <w:lvl w:ilvl="0">
      <w:start w:val="1"/>
      <w:numFmt w:val="bullet"/>
      <w:lvlRestart w:val="0"/>
      <w:pStyle w:val="BoxDoubleDot"/>
      <w:lvlText w:val="•"/>
      <w:lvlJc w:val="left"/>
      <w:pPr>
        <w:tabs>
          <w:tab w:val="num" w:pos="283"/>
        </w:tabs>
        <w:ind w:left="283" w:hanging="283"/>
      </w:pPr>
      <w:rPr>
        <w:b w:val="0"/>
        <w:i w:val="0"/>
      </w:rPr>
    </w:lvl>
    <w:lvl w:ilvl="1">
      <w:start w:val="1"/>
      <w:numFmt w:val="bullet"/>
      <w:pStyle w:val="RecommendationBullet"/>
      <w:lvlText w:val="–"/>
      <w:lvlJc w:val="left"/>
      <w:pPr>
        <w:tabs>
          <w:tab w:val="num" w:pos="567"/>
        </w:tabs>
        <w:ind w:left="567" w:hanging="284"/>
      </w:pPr>
      <w:rPr>
        <w:b w:val="0"/>
        <w:i w:val="0"/>
      </w:rPr>
    </w:lvl>
    <w:lvl w:ilvl="2">
      <w:start w:val="1"/>
      <w:numFmt w:val="bullet"/>
      <w:pStyle w:val="RecommendationDash"/>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4">
    <w:nsid w:val="67B14D4A"/>
    <w:multiLevelType w:val="hybridMultilevel"/>
    <w:tmpl w:val="59AA65DE"/>
    <w:lvl w:ilvl="0" w:tplc="4F062FFA">
      <w:start w:val="1"/>
      <w:numFmt w:val="lowerLetter"/>
      <w:lvlRestart w:val="0"/>
      <w:pStyle w:val="CAR-Indent-Alpha-Lower0"/>
      <w:lvlText w:val="%1)"/>
      <w:lvlJc w:val="left"/>
      <w:pPr>
        <w:tabs>
          <w:tab w:val="num" w:pos="1134"/>
        </w:tabs>
        <w:ind w:left="1134"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200A30"/>
    <w:multiLevelType w:val="multilevel"/>
    <w:tmpl w:val="33CA5444"/>
    <w:name w:val="AlphaLevel3List"/>
    <w:lvl w:ilvl="0">
      <w:start w:val="1"/>
      <w:numFmt w:val="upperLetter"/>
      <w:lvlRestart w:val="0"/>
      <w:pStyle w:val="AlphaLevel3"/>
      <w:lvlText w:val="(%1)"/>
      <w:lvlJc w:val="left"/>
      <w:pPr>
        <w:tabs>
          <w:tab w:val="num" w:pos="1701"/>
        </w:tabs>
        <w:ind w:left="1701"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6">
    <w:nsid w:val="6FA55AE3"/>
    <w:multiLevelType w:val="multilevel"/>
    <w:tmpl w:val="D0B4FF78"/>
    <w:name w:val="OneLevelNumberedJustified"/>
    <w:lvl w:ilvl="0">
      <w:start w:val="1"/>
      <w:numFmt w:val="decimal"/>
      <w:lvlRestart w:val="0"/>
      <w:pStyle w:val="Normalnumbered"/>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7">
    <w:nsid w:val="764E4DA4"/>
    <w:multiLevelType w:val="multilevel"/>
    <w:tmpl w:val="23CA7F1E"/>
    <w:lvl w:ilvl="0">
      <w:start w:val="1"/>
      <w:numFmt w:val="decimal"/>
      <w:pStyle w:val="Outline-1"/>
      <w:lvlText w:val="%1."/>
      <w:lvlJc w:val="left"/>
      <w:pPr>
        <w:tabs>
          <w:tab w:val="num" w:pos="425"/>
        </w:tabs>
        <w:ind w:left="425" w:hanging="425"/>
      </w:pPr>
      <w:rPr>
        <w:rFonts w:ascii="Palatino" w:hAnsi="Palatino" w:hint="default"/>
        <w:b w:val="0"/>
        <w:i w:val="0"/>
        <w:sz w:val="24"/>
      </w:rPr>
    </w:lvl>
    <w:lvl w:ilvl="1">
      <w:start w:val="1"/>
      <w:numFmt w:val="lowerLetter"/>
      <w:lvlText w:val="(%2)"/>
      <w:lvlJc w:val="left"/>
      <w:pPr>
        <w:tabs>
          <w:tab w:val="num" w:pos="360"/>
        </w:tabs>
        <w:ind w:left="360" w:hanging="360"/>
      </w:pPr>
      <w:rPr>
        <w:rFonts w:ascii="Palatino" w:hAnsi="Palatino" w:hint="default"/>
        <w:b w:val="0"/>
        <w:i w:val="0"/>
        <w:sz w:val="24"/>
      </w:rPr>
    </w:lvl>
    <w:lvl w:ilvl="2">
      <w:start w:val="1"/>
      <w:numFmt w:val="lowerLetter"/>
      <w:lvlText w:val="(%3)"/>
      <w:lvlJc w:val="left"/>
      <w:pPr>
        <w:tabs>
          <w:tab w:val="num" w:pos="567"/>
        </w:tabs>
        <w:ind w:left="567" w:hanging="567"/>
      </w:pPr>
      <w:rPr>
        <w:rFonts w:ascii="Palatino" w:hAnsi="Palatino" w:hint="default"/>
        <w:b w:val="0"/>
        <w:i w:val="0"/>
        <w:sz w:val="24"/>
      </w:rPr>
    </w:lvl>
    <w:lvl w:ilvl="3">
      <w:start w:val="1"/>
      <w:numFmt w:val="lowerRoman"/>
      <w:lvlText w:val="(%4)"/>
      <w:lvlJc w:val="left"/>
      <w:pPr>
        <w:tabs>
          <w:tab w:val="num" w:pos="2705"/>
        </w:tabs>
        <w:ind w:left="2552" w:hanging="567"/>
      </w:pPr>
      <w:rPr>
        <w:rFonts w:ascii="Palatino" w:hAnsi="Palatino" w:hint="default"/>
        <w:b w:val="0"/>
        <w:i w:val="0"/>
        <w:sz w:val="24"/>
      </w:rPr>
    </w:lvl>
    <w:lvl w:ilvl="4">
      <w:start w:val="1"/>
      <w:numFmt w:val="upperLetter"/>
      <w:lvlText w:val="(%5)"/>
      <w:lvlJc w:val="left"/>
      <w:pPr>
        <w:tabs>
          <w:tab w:val="num" w:pos="3232"/>
        </w:tabs>
        <w:ind w:left="3232" w:hanging="510"/>
      </w:pPr>
      <w:rPr>
        <w:rFonts w:hint="default"/>
      </w:rPr>
    </w:lvl>
    <w:lvl w:ilvl="5">
      <w:start w:val="1"/>
      <w:numFmt w:val="lowerLetter"/>
      <w:lvlText w:val="(%6)"/>
      <w:lvlJc w:val="left"/>
      <w:pPr>
        <w:tabs>
          <w:tab w:val="num" w:pos="3903"/>
        </w:tabs>
        <w:ind w:left="3543" w:firstLine="0"/>
      </w:pPr>
      <w:rPr>
        <w:rFonts w:hint="default"/>
      </w:rPr>
    </w:lvl>
    <w:lvl w:ilvl="6">
      <w:start w:val="1"/>
      <w:numFmt w:val="lowerRoman"/>
      <w:lvlText w:val="(%7)"/>
      <w:lvlJc w:val="left"/>
      <w:pPr>
        <w:tabs>
          <w:tab w:val="num" w:pos="4623"/>
        </w:tabs>
        <w:ind w:left="4263" w:firstLine="0"/>
      </w:pPr>
      <w:rPr>
        <w:rFonts w:hint="default"/>
      </w:rPr>
    </w:lvl>
    <w:lvl w:ilvl="7">
      <w:start w:val="1"/>
      <w:numFmt w:val="lowerLetter"/>
      <w:lvlText w:val="(%8)"/>
      <w:lvlJc w:val="left"/>
      <w:pPr>
        <w:tabs>
          <w:tab w:val="num" w:pos="5343"/>
        </w:tabs>
        <w:ind w:left="4983" w:firstLine="0"/>
      </w:pPr>
      <w:rPr>
        <w:rFonts w:hint="default"/>
      </w:rPr>
    </w:lvl>
    <w:lvl w:ilvl="8">
      <w:start w:val="1"/>
      <w:numFmt w:val="lowerRoman"/>
      <w:lvlText w:val="(%9)"/>
      <w:lvlJc w:val="left"/>
      <w:pPr>
        <w:tabs>
          <w:tab w:val="num" w:pos="6063"/>
        </w:tabs>
        <w:ind w:left="5703" w:firstLine="0"/>
      </w:pPr>
      <w:rPr>
        <w:rFonts w:hint="default"/>
      </w:rPr>
    </w:lvl>
  </w:abstractNum>
  <w:abstractNum w:abstractNumId="38">
    <w:nsid w:val="782565B9"/>
    <w:multiLevelType w:val="multilevel"/>
    <w:tmpl w:val="88C8E50A"/>
    <w:lvl w:ilvl="0">
      <w:start w:val="1"/>
      <w:numFmt w:val="lowerRoman"/>
      <w:lvlRestart w:val="0"/>
      <w:pStyle w:val="Romannumeral"/>
      <w:lvlText w:val="(%1)"/>
      <w:lvlJc w:val="left"/>
      <w:pPr>
        <w:tabs>
          <w:tab w:val="num" w:pos="1134"/>
        </w:tabs>
        <w:ind w:left="1134"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9">
    <w:nsid w:val="7F455FBF"/>
    <w:multiLevelType w:val="hybridMultilevel"/>
    <w:tmpl w:val="7D88533A"/>
    <w:lvl w:ilvl="0" w:tplc="449C61C6">
      <w:start w:val="1"/>
      <w:numFmt w:val="lowerRoman"/>
      <w:pStyle w:val="CAR-Indent-Roman-1"/>
      <w:lvlText w:val="(%1)"/>
      <w:lvlJc w:val="left"/>
      <w:pPr>
        <w:tabs>
          <w:tab w:val="num" w:pos="1276"/>
        </w:tabs>
        <w:ind w:left="1276" w:hanging="709"/>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5"/>
  </w:num>
  <w:num w:numId="3">
    <w:abstractNumId w:val="13"/>
  </w:num>
  <w:num w:numId="4">
    <w:abstractNumId w:val="10"/>
  </w:num>
  <w:num w:numId="5">
    <w:abstractNumId w:val="14"/>
  </w:num>
  <w:num w:numId="6">
    <w:abstractNumId w:val="26"/>
  </w:num>
  <w:num w:numId="7">
    <w:abstractNumId w:val="31"/>
  </w:num>
  <w:num w:numId="8">
    <w:abstractNumId w:val="5"/>
  </w:num>
  <w:num w:numId="9">
    <w:abstractNumId w:val="33"/>
  </w:num>
  <w:num w:numId="10">
    <w:abstractNumId w:val="38"/>
  </w:num>
  <w:num w:numId="11">
    <w:abstractNumId w:val="35"/>
  </w:num>
  <w:num w:numId="12">
    <w:abstractNumId w:val="3"/>
  </w:num>
  <w:num w:numId="13">
    <w:abstractNumId w:val="36"/>
  </w:num>
  <w:num w:numId="14">
    <w:abstractNumId w:val="30"/>
  </w:num>
  <w:num w:numId="15">
    <w:abstractNumId w:val="2"/>
  </w:num>
  <w:num w:numId="16">
    <w:abstractNumId w:val="34"/>
  </w:num>
  <w:num w:numId="17">
    <w:abstractNumId w:val="17"/>
  </w:num>
  <w:num w:numId="18">
    <w:abstractNumId w:val="19"/>
  </w:num>
  <w:num w:numId="19">
    <w:abstractNumId w:val="6"/>
  </w:num>
  <w:num w:numId="20">
    <w:abstractNumId w:val="39"/>
  </w:num>
  <w:num w:numId="21">
    <w:abstractNumId w:val="16"/>
  </w:num>
  <w:num w:numId="22">
    <w:abstractNumId w:val="4"/>
  </w:num>
  <w:num w:numId="23">
    <w:abstractNumId w:val="23"/>
  </w:num>
  <w:num w:numId="24">
    <w:abstractNumId w:val="29"/>
  </w:num>
  <w:num w:numId="25">
    <w:abstractNumId w:val="8"/>
  </w:num>
  <w:num w:numId="26">
    <w:abstractNumId w:val="12"/>
  </w:num>
  <w:num w:numId="27">
    <w:abstractNumId w:val="20"/>
  </w:num>
  <w:num w:numId="28">
    <w:abstractNumId w:val="18"/>
  </w:num>
  <w:num w:numId="29">
    <w:abstractNumId w:val="6"/>
    <w:lvlOverride w:ilvl="0">
      <w:startOverride w:val="1"/>
    </w:lvlOverride>
  </w:num>
  <w:num w:numId="30">
    <w:abstractNumId w:val="22"/>
  </w:num>
  <w:num w:numId="31">
    <w:abstractNumId w:val="11"/>
  </w:num>
  <w:num w:numId="32">
    <w:abstractNumId w:val="27"/>
  </w:num>
  <w:num w:numId="33">
    <w:abstractNumId w:val="1"/>
  </w:num>
  <w:num w:numId="34">
    <w:abstractNumId w:val="28"/>
  </w:num>
  <w:num w:numId="35">
    <w:abstractNumId w:val="24"/>
  </w:num>
  <w:num w:numId="36">
    <w:abstractNumId w:val="0"/>
  </w:num>
  <w:num w:numId="37">
    <w:abstractNumId w:val="32"/>
  </w:num>
  <w:num w:numId="38">
    <w:abstractNumId w:val="7"/>
  </w:num>
  <w:num w:numId="39">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R/gTC4bgF46Xs481KwhnRxXUNBU=" w:salt="WlTaDNtxYqXZaP22xETL9g=="/>
  <w:defaultTabStop w:val="709"/>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306FBA"/>
    <w:rsid w:val="00002FDF"/>
    <w:rsid w:val="000131D7"/>
    <w:rsid w:val="00013630"/>
    <w:rsid w:val="00016636"/>
    <w:rsid w:val="000246D6"/>
    <w:rsid w:val="00027F54"/>
    <w:rsid w:val="00040CC6"/>
    <w:rsid w:val="00041917"/>
    <w:rsid w:val="00047E4F"/>
    <w:rsid w:val="00051C7B"/>
    <w:rsid w:val="0005370D"/>
    <w:rsid w:val="00061777"/>
    <w:rsid w:val="000726AB"/>
    <w:rsid w:val="00076E33"/>
    <w:rsid w:val="000879AE"/>
    <w:rsid w:val="00090203"/>
    <w:rsid w:val="00096908"/>
    <w:rsid w:val="000A12BC"/>
    <w:rsid w:val="000B54B2"/>
    <w:rsid w:val="000C1CEC"/>
    <w:rsid w:val="000C594A"/>
    <w:rsid w:val="000D3A79"/>
    <w:rsid w:val="000D7AA4"/>
    <w:rsid w:val="000F0047"/>
    <w:rsid w:val="000F1DBA"/>
    <w:rsid w:val="000F687C"/>
    <w:rsid w:val="000F7863"/>
    <w:rsid w:val="001129F5"/>
    <w:rsid w:val="00124F76"/>
    <w:rsid w:val="00130704"/>
    <w:rsid w:val="00133F19"/>
    <w:rsid w:val="00133F6D"/>
    <w:rsid w:val="001361E1"/>
    <w:rsid w:val="00136A06"/>
    <w:rsid w:val="001411AB"/>
    <w:rsid w:val="00144B66"/>
    <w:rsid w:val="00161168"/>
    <w:rsid w:val="001673E9"/>
    <w:rsid w:val="001765B3"/>
    <w:rsid w:val="00183121"/>
    <w:rsid w:val="00191AA3"/>
    <w:rsid w:val="001929F7"/>
    <w:rsid w:val="00193E47"/>
    <w:rsid w:val="001A0F91"/>
    <w:rsid w:val="001C1552"/>
    <w:rsid w:val="001D33F9"/>
    <w:rsid w:val="001D36EC"/>
    <w:rsid w:val="001E10E3"/>
    <w:rsid w:val="001E2E8A"/>
    <w:rsid w:val="0020462D"/>
    <w:rsid w:val="002052A0"/>
    <w:rsid w:val="00212A0D"/>
    <w:rsid w:val="002215EA"/>
    <w:rsid w:val="00222560"/>
    <w:rsid w:val="00224F79"/>
    <w:rsid w:val="00234290"/>
    <w:rsid w:val="0023751A"/>
    <w:rsid w:val="00247E4B"/>
    <w:rsid w:val="002552F4"/>
    <w:rsid w:val="00266D5E"/>
    <w:rsid w:val="00271B26"/>
    <w:rsid w:val="0029204B"/>
    <w:rsid w:val="002B3DA7"/>
    <w:rsid w:val="002B6DF2"/>
    <w:rsid w:val="002C444D"/>
    <w:rsid w:val="002C5507"/>
    <w:rsid w:val="002C5F57"/>
    <w:rsid w:val="002D2CEB"/>
    <w:rsid w:val="002D4176"/>
    <w:rsid w:val="002E00B3"/>
    <w:rsid w:val="002E0861"/>
    <w:rsid w:val="002E477B"/>
    <w:rsid w:val="002E7EAB"/>
    <w:rsid w:val="002F0497"/>
    <w:rsid w:val="00303BCD"/>
    <w:rsid w:val="00306ECE"/>
    <w:rsid w:val="00306FBA"/>
    <w:rsid w:val="00314EB0"/>
    <w:rsid w:val="00317C0C"/>
    <w:rsid w:val="00321D56"/>
    <w:rsid w:val="00323677"/>
    <w:rsid w:val="00324C74"/>
    <w:rsid w:val="00330F7D"/>
    <w:rsid w:val="00333F35"/>
    <w:rsid w:val="00340341"/>
    <w:rsid w:val="0034043E"/>
    <w:rsid w:val="00351BD7"/>
    <w:rsid w:val="00354D42"/>
    <w:rsid w:val="00360175"/>
    <w:rsid w:val="00364DC8"/>
    <w:rsid w:val="00371F1D"/>
    <w:rsid w:val="003733F6"/>
    <w:rsid w:val="00380C6D"/>
    <w:rsid w:val="003842B9"/>
    <w:rsid w:val="003857B2"/>
    <w:rsid w:val="00387D27"/>
    <w:rsid w:val="00390D2C"/>
    <w:rsid w:val="0039258B"/>
    <w:rsid w:val="003B21B5"/>
    <w:rsid w:val="003D4DDB"/>
    <w:rsid w:val="003D5573"/>
    <w:rsid w:val="003E50BB"/>
    <w:rsid w:val="003E6769"/>
    <w:rsid w:val="003F1539"/>
    <w:rsid w:val="00403E12"/>
    <w:rsid w:val="00413E58"/>
    <w:rsid w:val="00434CC8"/>
    <w:rsid w:val="004353C4"/>
    <w:rsid w:val="004533AE"/>
    <w:rsid w:val="00457130"/>
    <w:rsid w:val="004621D7"/>
    <w:rsid w:val="00470EAE"/>
    <w:rsid w:val="004730DB"/>
    <w:rsid w:val="00475673"/>
    <w:rsid w:val="004A1E49"/>
    <w:rsid w:val="004A5C9C"/>
    <w:rsid w:val="004B3C28"/>
    <w:rsid w:val="004D10F2"/>
    <w:rsid w:val="004D225C"/>
    <w:rsid w:val="004E7B23"/>
    <w:rsid w:val="004F54E8"/>
    <w:rsid w:val="004F5911"/>
    <w:rsid w:val="00510ED3"/>
    <w:rsid w:val="00511DDD"/>
    <w:rsid w:val="0052366B"/>
    <w:rsid w:val="00527FE1"/>
    <w:rsid w:val="00531013"/>
    <w:rsid w:val="00535B50"/>
    <w:rsid w:val="00536E13"/>
    <w:rsid w:val="005510BF"/>
    <w:rsid w:val="00560315"/>
    <w:rsid w:val="00572150"/>
    <w:rsid w:val="005739CD"/>
    <w:rsid w:val="00592086"/>
    <w:rsid w:val="005B25A7"/>
    <w:rsid w:val="005B5119"/>
    <w:rsid w:val="005C6E57"/>
    <w:rsid w:val="005C70E4"/>
    <w:rsid w:val="005D73E5"/>
    <w:rsid w:val="005E4870"/>
    <w:rsid w:val="006025F4"/>
    <w:rsid w:val="0060713F"/>
    <w:rsid w:val="00613E04"/>
    <w:rsid w:val="00614A6B"/>
    <w:rsid w:val="00615C01"/>
    <w:rsid w:val="00624284"/>
    <w:rsid w:val="00626686"/>
    <w:rsid w:val="00632678"/>
    <w:rsid w:val="00650DD0"/>
    <w:rsid w:val="006549D7"/>
    <w:rsid w:val="00677357"/>
    <w:rsid w:val="0068765D"/>
    <w:rsid w:val="006903E8"/>
    <w:rsid w:val="006940C9"/>
    <w:rsid w:val="006A4EDC"/>
    <w:rsid w:val="006B388E"/>
    <w:rsid w:val="006C7A85"/>
    <w:rsid w:val="006D31F6"/>
    <w:rsid w:val="0071334D"/>
    <w:rsid w:val="00715366"/>
    <w:rsid w:val="007166F1"/>
    <w:rsid w:val="007213AF"/>
    <w:rsid w:val="00722F61"/>
    <w:rsid w:val="00723818"/>
    <w:rsid w:val="0072382D"/>
    <w:rsid w:val="00732BEF"/>
    <w:rsid w:val="00734672"/>
    <w:rsid w:val="00744875"/>
    <w:rsid w:val="00744A1C"/>
    <w:rsid w:val="00747A4E"/>
    <w:rsid w:val="00751625"/>
    <w:rsid w:val="00756BBE"/>
    <w:rsid w:val="007A1517"/>
    <w:rsid w:val="007A6BC8"/>
    <w:rsid w:val="007B1B68"/>
    <w:rsid w:val="007B2692"/>
    <w:rsid w:val="007C2300"/>
    <w:rsid w:val="007D168A"/>
    <w:rsid w:val="007D30A4"/>
    <w:rsid w:val="007D5B3D"/>
    <w:rsid w:val="007D6699"/>
    <w:rsid w:val="007D7122"/>
    <w:rsid w:val="007E314C"/>
    <w:rsid w:val="007E6A65"/>
    <w:rsid w:val="007F06E6"/>
    <w:rsid w:val="00801BB6"/>
    <w:rsid w:val="008040AF"/>
    <w:rsid w:val="008149D8"/>
    <w:rsid w:val="00822384"/>
    <w:rsid w:val="00827372"/>
    <w:rsid w:val="00836044"/>
    <w:rsid w:val="00836D4D"/>
    <w:rsid w:val="00844F7D"/>
    <w:rsid w:val="00846DE6"/>
    <w:rsid w:val="008572AB"/>
    <w:rsid w:val="008702A2"/>
    <w:rsid w:val="00875632"/>
    <w:rsid w:val="00897694"/>
    <w:rsid w:val="008A31DD"/>
    <w:rsid w:val="008B08E6"/>
    <w:rsid w:val="008B323C"/>
    <w:rsid w:val="008B4DC2"/>
    <w:rsid w:val="008B6A38"/>
    <w:rsid w:val="008D25E3"/>
    <w:rsid w:val="008F210B"/>
    <w:rsid w:val="008F7DC9"/>
    <w:rsid w:val="00906ED9"/>
    <w:rsid w:val="009104A8"/>
    <w:rsid w:val="009108D9"/>
    <w:rsid w:val="00917389"/>
    <w:rsid w:val="00925295"/>
    <w:rsid w:val="00932CBE"/>
    <w:rsid w:val="00944D74"/>
    <w:rsid w:val="009700A7"/>
    <w:rsid w:val="00974ADD"/>
    <w:rsid w:val="009759F7"/>
    <w:rsid w:val="0099007E"/>
    <w:rsid w:val="00992963"/>
    <w:rsid w:val="00997376"/>
    <w:rsid w:val="009A6E65"/>
    <w:rsid w:val="009B1B47"/>
    <w:rsid w:val="009D2439"/>
    <w:rsid w:val="009D3724"/>
    <w:rsid w:val="009E1950"/>
    <w:rsid w:val="009E2ED4"/>
    <w:rsid w:val="00A04859"/>
    <w:rsid w:val="00A147C5"/>
    <w:rsid w:val="00A24808"/>
    <w:rsid w:val="00A25318"/>
    <w:rsid w:val="00A26416"/>
    <w:rsid w:val="00A33E37"/>
    <w:rsid w:val="00A557FB"/>
    <w:rsid w:val="00A63A2C"/>
    <w:rsid w:val="00A70835"/>
    <w:rsid w:val="00A7150E"/>
    <w:rsid w:val="00A82AC4"/>
    <w:rsid w:val="00A90AA7"/>
    <w:rsid w:val="00A93B96"/>
    <w:rsid w:val="00A9431D"/>
    <w:rsid w:val="00AC33FE"/>
    <w:rsid w:val="00AD22C2"/>
    <w:rsid w:val="00AD65F1"/>
    <w:rsid w:val="00AE3B6D"/>
    <w:rsid w:val="00AE782B"/>
    <w:rsid w:val="00AF03C0"/>
    <w:rsid w:val="00AF0F33"/>
    <w:rsid w:val="00B0129B"/>
    <w:rsid w:val="00B03381"/>
    <w:rsid w:val="00B10FCB"/>
    <w:rsid w:val="00B3505F"/>
    <w:rsid w:val="00B369E2"/>
    <w:rsid w:val="00B37FB2"/>
    <w:rsid w:val="00B72585"/>
    <w:rsid w:val="00B84487"/>
    <w:rsid w:val="00B8503E"/>
    <w:rsid w:val="00B86035"/>
    <w:rsid w:val="00B93174"/>
    <w:rsid w:val="00BA2F9E"/>
    <w:rsid w:val="00BA6DBB"/>
    <w:rsid w:val="00BB1A41"/>
    <w:rsid w:val="00BB4299"/>
    <w:rsid w:val="00BC397B"/>
    <w:rsid w:val="00BD05FC"/>
    <w:rsid w:val="00BD0A93"/>
    <w:rsid w:val="00BE751C"/>
    <w:rsid w:val="00BE7F72"/>
    <w:rsid w:val="00BF20BF"/>
    <w:rsid w:val="00BF2E91"/>
    <w:rsid w:val="00BF4FCC"/>
    <w:rsid w:val="00C1371F"/>
    <w:rsid w:val="00C23A04"/>
    <w:rsid w:val="00C410C0"/>
    <w:rsid w:val="00C844CF"/>
    <w:rsid w:val="00CA6FC8"/>
    <w:rsid w:val="00CC6FFD"/>
    <w:rsid w:val="00CD16AA"/>
    <w:rsid w:val="00CD481C"/>
    <w:rsid w:val="00CD5B01"/>
    <w:rsid w:val="00CE758F"/>
    <w:rsid w:val="00CF6D1F"/>
    <w:rsid w:val="00D0078F"/>
    <w:rsid w:val="00D10FED"/>
    <w:rsid w:val="00D14C7B"/>
    <w:rsid w:val="00D16825"/>
    <w:rsid w:val="00D169D4"/>
    <w:rsid w:val="00D2688C"/>
    <w:rsid w:val="00D35D08"/>
    <w:rsid w:val="00D377F0"/>
    <w:rsid w:val="00D402D3"/>
    <w:rsid w:val="00D66179"/>
    <w:rsid w:val="00D72DA3"/>
    <w:rsid w:val="00D74DBB"/>
    <w:rsid w:val="00D83A5F"/>
    <w:rsid w:val="00D83C38"/>
    <w:rsid w:val="00D83F30"/>
    <w:rsid w:val="00D96D40"/>
    <w:rsid w:val="00DA41E0"/>
    <w:rsid w:val="00DA78F6"/>
    <w:rsid w:val="00DB4087"/>
    <w:rsid w:val="00DC50BF"/>
    <w:rsid w:val="00DD267D"/>
    <w:rsid w:val="00DD3A1A"/>
    <w:rsid w:val="00DD4CF0"/>
    <w:rsid w:val="00DD7DC7"/>
    <w:rsid w:val="00DE6E85"/>
    <w:rsid w:val="00DF3396"/>
    <w:rsid w:val="00DF4FD2"/>
    <w:rsid w:val="00DF50F2"/>
    <w:rsid w:val="00E05EA9"/>
    <w:rsid w:val="00E24641"/>
    <w:rsid w:val="00E30BA4"/>
    <w:rsid w:val="00E324FD"/>
    <w:rsid w:val="00E3448C"/>
    <w:rsid w:val="00E358E6"/>
    <w:rsid w:val="00E36403"/>
    <w:rsid w:val="00E51BEB"/>
    <w:rsid w:val="00E54B3D"/>
    <w:rsid w:val="00E62840"/>
    <w:rsid w:val="00E715C3"/>
    <w:rsid w:val="00E8122C"/>
    <w:rsid w:val="00E83B4C"/>
    <w:rsid w:val="00E8799E"/>
    <w:rsid w:val="00EA5B2E"/>
    <w:rsid w:val="00EB49D2"/>
    <w:rsid w:val="00EC02F7"/>
    <w:rsid w:val="00EC70FB"/>
    <w:rsid w:val="00EF333C"/>
    <w:rsid w:val="00EF6B9F"/>
    <w:rsid w:val="00F001EC"/>
    <w:rsid w:val="00F21170"/>
    <w:rsid w:val="00F234DF"/>
    <w:rsid w:val="00F30CAF"/>
    <w:rsid w:val="00F353F1"/>
    <w:rsid w:val="00F46214"/>
    <w:rsid w:val="00F5202E"/>
    <w:rsid w:val="00F5335D"/>
    <w:rsid w:val="00F57322"/>
    <w:rsid w:val="00F72A4F"/>
    <w:rsid w:val="00F74BD7"/>
    <w:rsid w:val="00FA2DBC"/>
    <w:rsid w:val="00FA4A2B"/>
    <w:rsid w:val="00FC38FA"/>
    <w:rsid w:val="00FC5855"/>
    <w:rsid w:val="00FD736F"/>
    <w:rsid w:val="00FE64C5"/>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semiHidden="0" w:uiPriority="9" w:unhideWhenUsed="0" w:qFormat="1"/>
    <w:lsdException w:name="heading 6" w:locked="0" w:semiHidden="0" w:uiPriority="9" w:unhideWhenUsed="0" w:qFormat="1"/>
    <w:lsdException w:name="heading 7" w:locked="0" w:semiHidden="0" w:uiPriority="9" w:unhideWhenUsed="0" w:qFormat="1"/>
    <w:lsdException w:name="heading 8" w:locked="0" w:semiHidden="0" w:uiPriority="9" w:unhideWhenUsed="0" w:qFormat="1"/>
    <w:lsdException w:name="heading 9" w:locked="0" w:semiHidden="0" w:uiPriority="9" w:unhideWhenUsed="0"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uiPriority="0"/>
    <w:lsdException w:name="annotation text" w:locked="0"/>
    <w:lsdException w:name="header" w:locked="0"/>
    <w:lsdException w:name="footer" w:locked="0"/>
    <w:lsdException w:name="caption" w:locked="0" w:semiHidden="0" w:uiPriority="35" w:unhideWhenUsed="0" w:qFormat="1"/>
    <w:lsdException w:name="footnote reference" w:locked="0" w:uiPriority="0"/>
    <w:lsdException w:name="annotation reference" w:locked="0"/>
    <w:lsdException w:name="page number" w:locked="0"/>
    <w:lsdException w:name="Title" w:locked="0" w:semiHidden="0" w:uiPriority="10" w:unhideWhenUsed="0" w:qFormat="1"/>
    <w:lsdException w:name="Default Paragraph Font" w:locked="0" w:uiPriority="1"/>
    <w:lsdException w:name="Body Text" w:locked="0"/>
    <w:lsdException w:name="Subtitle" w:semiHidden="0" w:uiPriority="11" w:unhideWhenUsed="0" w:qFormat="1"/>
    <w:lsdException w:name="Hyperlink" w:locked="0"/>
    <w:lsdException w:name="Followed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0BF"/>
    <w:pPr>
      <w:spacing w:after="240" w:line="260" w:lineRule="exact"/>
    </w:pPr>
    <w:rPr>
      <w:rFonts w:ascii="Book Antiqua" w:hAnsi="Book Antiqua"/>
      <w:color w:val="000000"/>
    </w:rPr>
  </w:style>
  <w:style w:type="paragraph" w:styleId="Heading1">
    <w:name w:val="heading 1"/>
    <w:basedOn w:val="HeadingBase"/>
    <w:next w:val="Normal"/>
    <w:link w:val="Heading1Char"/>
    <w:qFormat/>
    <w:locked/>
    <w:rsid w:val="00BF20BF"/>
    <w:pPr>
      <w:spacing w:before="240" w:after="240"/>
      <w:outlineLvl w:val="0"/>
    </w:pPr>
    <w:rPr>
      <w:rFonts w:cs="Arial"/>
      <w:b/>
      <w:bCs/>
      <w:kern w:val="32"/>
      <w:sz w:val="32"/>
      <w:szCs w:val="36"/>
    </w:rPr>
  </w:style>
  <w:style w:type="paragraph" w:styleId="Heading2">
    <w:name w:val="heading 2"/>
    <w:basedOn w:val="HeadingBase"/>
    <w:next w:val="Normal"/>
    <w:qFormat/>
    <w:locked/>
    <w:rsid w:val="00BF20BF"/>
    <w:pPr>
      <w:spacing w:before="240" w:after="120"/>
      <w:outlineLvl w:val="1"/>
    </w:pPr>
    <w:rPr>
      <w:rFonts w:cs="Arial"/>
      <w:b/>
      <w:bCs/>
      <w:iCs/>
      <w:sz w:val="28"/>
      <w:szCs w:val="28"/>
    </w:rPr>
  </w:style>
  <w:style w:type="paragraph" w:styleId="Heading3">
    <w:name w:val="heading 3"/>
    <w:basedOn w:val="HeadingBase"/>
    <w:next w:val="Normal"/>
    <w:qFormat/>
    <w:locked/>
    <w:rsid w:val="00BF20BF"/>
    <w:pPr>
      <w:spacing w:before="240" w:after="120"/>
      <w:outlineLvl w:val="2"/>
    </w:pPr>
    <w:rPr>
      <w:rFonts w:cs="Arial"/>
      <w:b/>
      <w:bCs/>
      <w:sz w:val="26"/>
      <w:szCs w:val="26"/>
    </w:rPr>
  </w:style>
  <w:style w:type="paragraph" w:styleId="Heading4">
    <w:name w:val="heading 4"/>
    <w:basedOn w:val="HeadingBase"/>
    <w:next w:val="Normal"/>
    <w:qFormat/>
    <w:locked/>
    <w:rsid w:val="00BF20BF"/>
    <w:pPr>
      <w:spacing w:before="120" w:after="240"/>
      <w:outlineLvl w:val="3"/>
    </w:pPr>
    <w:rPr>
      <w:b/>
      <w:bCs/>
      <w:sz w:val="22"/>
      <w:szCs w:val="22"/>
    </w:rPr>
  </w:style>
  <w:style w:type="paragraph" w:styleId="Heading5">
    <w:name w:val="heading 5"/>
    <w:basedOn w:val="HeadingBase"/>
    <w:next w:val="Normal"/>
    <w:qFormat/>
    <w:locked/>
    <w:rsid w:val="00BF20BF"/>
    <w:pPr>
      <w:spacing w:before="40" w:after="40"/>
      <w:outlineLvl w:val="4"/>
    </w:pPr>
    <w:rPr>
      <w:b/>
      <w:bCs/>
      <w:iCs/>
    </w:rPr>
  </w:style>
  <w:style w:type="paragraph" w:styleId="Heading6">
    <w:name w:val="heading 6"/>
    <w:basedOn w:val="HeadingBase"/>
    <w:next w:val="Normal"/>
    <w:qFormat/>
    <w:locked/>
    <w:rsid w:val="00BF20BF"/>
    <w:pPr>
      <w:spacing w:before="360" w:after="360"/>
      <w:jc w:val="center"/>
      <w:outlineLvl w:val="5"/>
    </w:pPr>
    <w:rPr>
      <w:b/>
      <w:bCs/>
      <w:kern w:val="32"/>
      <w:sz w:val="28"/>
      <w:szCs w:val="22"/>
    </w:rPr>
  </w:style>
  <w:style w:type="paragraph" w:styleId="Heading7">
    <w:name w:val="heading 7"/>
    <w:basedOn w:val="HeadingBase"/>
    <w:next w:val="Normal"/>
    <w:qFormat/>
    <w:locked/>
    <w:rsid w:val="00BF20BF"/>
    <w:pPr>
      <w:spacing w:after="120"/>
      <w:outlineLvl w:val="6"/>
    </w:pPr>
    <w:rPr>
      <w:szCs w:val="24"/>
    </w:rPr>
  </w:style>
  <w:style w:type="paragraph" w:styleId="Heading8">
    <w:name w:val="heading 8"/>
    <w:basedOn w:val="HeadingBase"/>
    <w:next w:val="Normal"/>
    <w:qFormat/>
    <w:locked/>
    <w:rsid w:val="00BF20BF"/>
    <w:pPr>
      <w:spacing w:after="120"/>
      <w:outlineLvl w:val="7"/>
    </w:pPr>
    <w:rPr>
      <w:iCs/>
      <w:szCs w:val="24"/>
    </w:rPr>
  </w:style>
  <w:style w:type="paragraph" w:styleId="Heading9">
    <w:name w:val="heading 9"/>
    <w:basedOn w:val="HeadingBase"/>
    <w:next w:val="Normal"/>
    <w:qFormat/>
    <w:locked/>
    <w:rsid w:val="00BF20B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locked/>
    <w:rsid w:val="00BF20BF"/>
    <w:pPr>
      <w:keepNext/>
    </w:pPr>
    <w:rPr>
      <w:rFonts w:ascii="Arial" w:hAnsi="Arial"/>
      <w:color w:val="000080"/>
    </w:rPr>
  </w:style>
  <w:style w:type="paragraph" w:styleId="NormalIndent">
    <w:name w:val="Normal Indent"/>
    <w:basedOn w:val="Normal"/>
    <w:semiHidden/>
    <w:locked/>
    <w:rsid w:val="00BF20BF"/>
    <w:pPr>
      <w:ind w:left="567"/>
    </w:pPr>
  </w:style>
  <w:style w:type="paragraph" w:styleId="Header">
    <w:name w:val="header"/>
    <w:basedOn w:val="HeadingBase"/>
    <w:semiHidden/>
    <w:locked/>
    <w:rsid w:val="00BF20BF"/>
    <w:rPr>
      <w:sz w:val="18"/>
    </w:rPr>
  </w:style>
  <w:style w:type="character" w:styleId="PageNumber">
    <w:name w:val="page number"/>
    <w:basedOn w:val="DefaultParagraphFont"/>
    <w:semiHidden/>
    <w:locked/>
    <w:rsid w:val="00BF20BF"/>
  </w:style>
  <w:style w:type="paragraph" w:styleId="Footer">
    <w:name w:val="footer"/>
    <w:basedOn w:val="HeadingBase"/>
    <w:semiHidden/>
    <w:locked/>
    <w:rsid w:val="00BF20BF"/>
    <w:rPr>
      <w:sz w:val="18"/>
    </w:rPr>
  </w:style>
  <w:style w:type="paragraph" w:customStyle="1" w:styleId="Document">
    <w:name w:val="Document"/>
    <w:basedOn w:val="Normal"/>
    <w:locked/>
    <w:rsid w:val="00BF20BF"/>
    <w:pPr>
      <w:tabs>
        <w:tab w:val="num" w:pos="0"/>
      </w:tabs>
      <w:spacing w:after="120" w:line="360" w:lineRule="auto"/>
      <w:ind w:left="567" w:hanging="567"/>
      <w:jc w:val="both"/>
    </w:pPr>
    <w:rPr>
      <w:rFonts w:ascii="Arial" w:hAnsi="Arial"/>
      <w:sz w:val="22"/>
      <w:szCs w:val="22"/>
    </w:rPr>
  </w:style>
  <w:style w:type="paragraph" w:styleId="Title">
    <w:name w:val="Title"/>
    <w:basedOn w:val="Normal"/>
    <w:qFormat/>
    <w:locked/>
    <w:rsid w:val="00BF20BF"/>
    <w:pPr>
      <w:spacing w:line="360" w:lineRule="auto"/>
      <w:jc w:val="center"/>
    </w:pPr>
    <w:rPr>
      <w:b/>
      <w:szCs w:val="22"/>
      <w:u w:val="single"/>
    </w:rPr>
  </w:style>
  <w:style w:type="paragraph" w:customStyle="1" w:styleId="Outline-1">
    <w:name w:val="Outline-1"/>
    <w:locked/>
    <w:rsid w:val="00BF20BF"/>
    <w:pPr>
      <w:numPr>
        <w:numId w:val="1"/>
      </w:numPr>
      <w:tabs>
        <w:tab w:val="left" w:pos="567"/>
      </w:tabs>
      <w:spacing w:before="240"/>
      <w:jc w:val="both"/>
    </w:pPr>
    <w:rPr>
      <w:rFonts w:ascii="Palatino" w:hAnsi="Palatino"/>
      <w:sz w:val="24"/>
      <w:lang w:eastAsia="en-US"/>
    </w:rPr>
  </w:style>
  <w:style w:type="paragraph" w:customStyle="1" w:styleId="Outline-6">
    <w:name w:val="Outline-6"/>
    <w:locked/>
    <w:rsid w:val="00BF20BF"/>
    <w:pPr>
      <w:numPr>
        <w:numId w:val="2"/>
      </w:numPr>
      <w:spacing w:before="120"/>
      <w:jc w:val="both"/>
    </w:pPr>
    <w:rPr>
      <w:rFonts w:ascii="Palatino" w:hAnsi="Palatino"/>
      <w:sz w:val="24"/>
      <w:lang w:eastAsia="en-US"/>
    </w:rPr>
  </w:style>
  <w:style w:type="paragraph" w:customStyle="1" w:styleId="SingleParagraph">
    <w:name w:val="Single Paragraph"/>
    <w:basedOn w:val="Normal"/>
    <w:locked/>
    <w:rsid w:val="00BF20BF"/>
    <w:pPr>
      <w:spacing w:after="0"/>
    </w:pPr>
  </w:style>
  <w:style w:type="character" w:styleId="Hyperlink">
    <w:name w:val="Hyperlink"/>
    <w:semiHidden/>
    <w:locked/>
    <w:rsid w:val="00BF20BF"/>
    <w:rPr>
      <w:color w:val="auto"/>
      <w:u w:val="none"/>
    </w:rPr>
  </w:style>
  <w:style w:type="character" w:styleId="FootnoteReference">
    <w:name w:val="footnote reference"/>
    <w:semiHidden/>
    <w:locked/>
    <w:rsid w:val="00BF20BF"/>
    <w:rPr>
      <w:vertAlign w:val="superscript"/>
    </w:rPr>
  </w:style>
  <w:style w:type="character" w:styleId="FollowedHyperlink">
    <w:name w:val="FollowedHyperlink"/>
    <w:semiHidden/>
    <w:locked/>
    <w:rsid w:val="00BF20BF"/>
    <w:rPr>
      <w:color w:val="auto"/>
      <w:u w:val="none"/>
    </w:rPr>
  </w:style>
  <w:style w:type="paragraph" w:styleId="FootnoteText">
    <w:name w:val="footnote text"/>
    <w:basedOn w:val="Normal"/>
    <w:link w:val="FootnoteTextChar"/>
    <w:semiHidden/>
    <w:locked/>
    <w:rsid w:val="00BF20BF"/>
    <w:pPr>
      <w:numPr>
        <w:numId w:val="3"/>
      </w:numPr>
      <w:tabs>
        <w:tab w:val="clear" w:pos="283"/>
        <w:tab w:val="left" w:pos="284"/>
      </w:tabs>
      <w:spacing w:after="0" w:line="240" w:lineRule="auto"/>
      <w:ind w:left="284" w:hanging="284"/>
    </w:pPr>
    <w:rPr>
      <w:sz w:val="18"/>
    </w:rPr>
  </w:style>
  <w:style w:type="paragraph" w:customStyle="1" w:styleId="Bullet">
    <w:name w:val="Bullet"/>
    <w:basedOn w:val="Normal"/>
    <w:locked/>
    <w:rsid w:val="00BF20BF"/>
    <w:pPr>
      <w:numPr>
        <w:ilvl w:val="1"/>
        <w:numId w:val="3"/>
      </w:numPr>
      <w:tabs>
        <w:tab w:val="clear" w:pos="567"/>
        <w:tab w:val="num" w:pos="283"/>
      </w:tabs>
      <w:ind w:left="283" w:hanging="283"/>
    </w:pPr>
  </w:style>
  <w:style w:type="paragraph" w:customStyle="1" w:styleId="Dash">
    <w:name w:val="Dash"/>
    <w:basedOn w:val="Normal"/>
    <w:locked/>
    <w:rsid w:val="00BF20BF"/>
    <w:pPr>
      <w:numPr>
        <w:ilvl w:val="2"/>
        <w:numId w:val="3"/>
      </w:numPr>
      <w:tabs>
        <w:tab w:val="clear" w:pos="850"/>
        <w:tab w:val="num" w:pos="567"/>
      </w:tabs>
      <w:ind w:left="567" w:hanging="284"/>
    </w:pPr>
  </w:style>
  <w:style w:type="paragraph" w:customStyle="1" w:styleId="DoubleDot">
    <w:name w:val="Double Dot"/>
    <w:basedOn w:val="Normal"/>
    <w:locked/>
    <w:rsid w:val="00BF20BF"/>
    <w:pPr>
      <w:numPr>
        <w:numId w:val="4"/>
      </w:numPr>
      <w:tabs>
        <w:tab w:val="clear" w:pos="567"/>
        <w:tab w:val="num" w:pos="850"/>
      </w:tabs>
      <w:ind w:left="850" w:hanging="283"/>
    </w:pPr>
  </w:style>
  <w:style w:type="paragraph" w:customStyle="1" w:styleId="OutlineNumbered1">
    <w:name w:val="Outline Numbered 1"/>
    <w:basedOn w:val="Normal"/>
    <w:locked/>
    <w:rsid w:val="00BF20BF"/>
    <w:pPr>
      <w:numPr>
        <w:ilvl w:val="1"/>
        <w:numId w:val="4"/>
      </w:numPr>
      <w:tabs>
        <w:tab w:val="clear" w:pos="1134"/>
        <w:tab w:val="num" w:pos="567"/>
      </w:tabs>
      <w:ind w:left="567"/>
    </w:pPr>
  </w:style>
  <w:style w:type="paragraph" w:customStyle="1" w:styleId="OutlineNumbered2">
    <w:name w:val="Outline Numbered 2"/>
    <w:basedOn w:val="Normal"/>
    <w:locked/>
    <w:rsid w:val="00BF20BF"/>
    <w:pPr>
      <w:numPr>
        <w:ilvl w:val="2"/>
        <w:numId w:val="4"/>
      </w:numPr>
      <w:tabs>
        <w:tab w:val="clear" w:pos="1701"/>
        <w:tab w:val="num" w:pos="1134"/>
      </w:tabs>
      <w:ind w:left="1134"/>
    </w:pPr>
  </w:style>
  <w:style w:type="paragraph" w:customStyle="1" w:styleId="OutlineNumbered3">
    <w:name w:val="Outline Numbered 3"/>
    <w:basedOn w:val="Normal"/>
    <w:locked/>
    <w:rsid w:val="00BF20BF"/>
    <w:pPr>
      <w:numPr>
        <w:numId w:val="5"/>
      </w:numPr>
      <w:jc w:val="both"/>
    </w:pPr>
  </w:style>
  <w:style w:type="paragraph" w:customStyle="1" w:styleId="AlphaParagraph">
    <w:name w:val="Alpha Paragraph"/>
    <w:basedOn w:val="Normal"/>
    <w:locked/>
    <w:rsid w:val="00BF20BF"/>
  </w:style>
  <w:style w:type="paragraph" w:customStyle="1" w:styleId="AppendixHeading">
    <w:name w:val="Appendix Heading"/>
    <w:basedOn w:val="HeadingBase"/>
    <w:next w:val="Normal"/>
    <w:locked/>
    <w:rsid w:val="00BF20BF"/>
    <w:pPr>
      <w:spacing w:before="720" w:after="360"/>
      <w:outlineLvl w:val="0"/>
    </w:pPr>
    <w:rPr>
      <w:rFonts w:ascii="Arial Bold" w:hAnsi="Arial Bold"/>
      <w:b/>
      <w:smallCaps/>
      <w:sz w:val="36"/>
      <w:szCs w:val="36"/>
    </w:rPr>
  </w:style>
  <w:style w:type="character" w:customStyle="1" w:styleId="Bold">
    <w:name w:val="Bold"/>
    <w:locked/>
    <w:rsid w:val="00BF20BF"/>
    <w:rPr>
      <w:b/>
    </w:rPr>
  </w:style>
  <w:style w:type="paragraph" w:customStyle="1" w:styleId="BoxHeading">
    <w:name w:val="Box Heading"/>
    <w:basedOn w:val="HeadingBase"/>
    <w:next w:val="BoxText"/>
    <w:locked/>
    <w:rsid w:val="00BF20BF"/>
    <w:pPr>
      <w:spacing w:before="120" w:after="120"/>
    </w:pPr>
    <w:rPr>
      <w:b/>
      <w:sz w:val="22"/>
    </w:rPr>
  </w:style>
  <w:style w:type="paragraph" w:customStyle="1" w:styleId="BoxText">
    <w:name w:val="Box Text"/>
    <w:basedOn w:val="BoxTextBase"/>
    <w:locked/>
    <w:rsid w:val="00BF20BF"/>
  </w:style>
  <w:style w:type="paragraph" w:customStyle="1" w:styleId="BoxTextBase">
    <w:name w:val="Box Text Base"/>
    <w:basedOn w:val="Normal"/>
    <w:locked/>
    <w:rsid w:val="00BF20BF"/>
    <w:pPr>
      <w:numPr>
        <w:numId w:val="6"/>
      </w:numPr>
      <w:tabs>
        <w:tab w:val="clear" w:pos="283"/>
      </w:tabs>
      <w:spacing w:before="120" w:after="120"/>
      <w:ind w:left="0" w:firstLine="0"/>
    </w:pPr>
  </w:style>
  <w:style w:type="paragraph" w:customStyle="1" w:styleId="ChartandTableFootnoteAlpha">
    <w:name w:val="Chart and Table Footnote Alpha"/>
    <w:locked/>
    <w:rsid w:val="00BF20BF"/>
    <w:pPr>
      <w:tabs>
        <w:tab w:val="num" w:pos="851"/>
      </w:tabs>
      <w:ind w:left="284" w:hanging="284"/>
    </w:pPr>
    <w:rPr>
      <w:rFonts w:ascii="Arial" w:hAnsi="Arial"/>
      <w:color w:val="000000"/>
      <w:sz w:val="16"/>
      <w:szCs w:val="16"/>
    </w:rPr>
  </w:style>
  <w:style w:type="paragraph" w:customStyle="1" w:styleId="CAR-Logo">
    <w:name w:val="CAR-Logo"/>
    <w:basedOn w:val="Normal"/>
    <w:next w:val="Normal"/>
    <w:locked/>
    <w:rsid w:val="00BF20BF"/>
    <w:pPr>
      <w:keepNext/>
      <w:spacing w:after="0" w:line="240" w:lineRule="auto"/>
      <w:jc w:val="center"/>
    </w:pPr>
    <w:rPr>
      <w:rFonts w:ascii="Arial" w:hAnsi="Arial"/>
      <w:color w:val="000080"/>
    </w:rPr>
  </w:style>
  <w:style w:type="paragraph" w:customStyle="1" w:styleId="ChartMainHeading">
    <w:name w:val="Chart Main Heading"/>
    <w:basedOn w:val="HeadingBase"/>
    <w:next w:val="ChartGraphic"/>
    <w:locked/>
    <w:rsid w:val="00BF20BF"/>
    <w:pPr>
      <w:spacing w:after="20"/>
      <w:jc w:val="center"/>
    </w:pPr>
    <w:rPr>
      <w:b/>
      <w:sz w:val="22"/>
    </w:rPr>
  </w:style>
  <w:style w:type="paragraph" w:customStyle="1" w:styleId="ChartGraphic">
    <w:name w:val="Chart Graphic"/>
    <w:basedOn w:val="HeadingBase"/>
    <w:next w:val="Normal"/>
    <w:locked/>
    <w:rsid w:val="00BF20BF"/>
    <w:pPr>
      <w:jc w:val="center"/>
    </w:pPr>
  </w:style>
  <w:style w:type="paragraph" w:customStyle="1" w:styleId="ChartorTableNote">
    <w:name w:val="Chart or Table Note"/>
    <w:next w:val="Normal"/>
    <w:locked/>
    <w:rsid w:val="00BF20BF"/>
    <w:pPr>
      <w:tabs>
        <w:tab w:val="left" w:pos="240"/>
      </w:tabs>
      <w:ind w:left="240" w:hanging="240"/>
    </w:pPr>
    <w:rPr>
      <w:rFonts w:ascii="Arial" w:hAnsi="Arial"/>
      <w:color w:val="000000"/>
      <w:sz w:val="16"/>
    </w:rPr>
  </w:style>
  <w:style w:type="paragraph" w:customStyle="1" w:styleId="ChartSecondHeading">
    <w:name w:val="Chart Second Heading"/>
    <w:basedOn w:val="HeadingBase"/>
    <w:next w:val="ChartGraphic"/>
    <w:locked/>
    <w:rsid w:val="00BF20BF"/>
    <w:pPr>
      <w:spacing w:after="20"/>
      <w:jc w:val="center"/>
    </w:pPr>
  </w:style>
  <w:style w:type="paragraph" w:customStyle="1" w:styleId="Classification">
    <w:name w:val="Classification"/>
    <w:basedOn w:val="HeadingBase"/>
    <w:next w:val="Footer"/>
    <w:locked/>
    <w:rsid w:val="00BF20BF"/>
    <w:pPr>
      <w:spacing w:after="120"/>
      <w:jc w:val="center"/>
    </w:pPr>
    <w:rPr>
      <w:b/>
      <w:smallCaps/>
    </w:rPr>
  </w:style>
  <w:style w:type="paragraph" w:customStyle="1" w:styleId="ContentsHeading">
    <w:name w:val="Contents Heading"/>
    <w:basedOn w:val="HeadingBase"/>
    <w:next w:val="Normal"/>
    <w:locked/>
    <w:rsid w:val="00BF20BF"/>
    <w:pPr>
      <w:spacing w:after="360"/>
    </w:pPr>
    <w:rPr>
      <w:smallCaps/>
      <w:sz w:val="36"/>
      <w:szCs w:val="36"/>
    </w:rPr>
  </w:style>
  <w:style w:type="paragraph" w:customStyle="1" w:styleId="CAR-CoverMain">
    <w:name w:val="CAR-CoverMain"/>
    <w:basedOn w:val="Normal"/>
    <w:next w:val="Normal"/>
    <w:locked/>
    <w:rsid w:val="00BF20BF"/>
    <w:pPr>
      <w:keepNext/>
      <w:spacing w:before="2000" w:after="480" w:line="240" w:lineRule="auto"/>
      <w:jc w:val="center"/>
    </w:pPr>
    <w:rPr>
      <w:rFonts w:ascii="Arial" w:hAnsi="Arial"/>
      <w:b/>
      <w:color w:val="000080"/>
      <w:sz w:val="48"/>
    </w:rPr>
  </w:style>
  <w:style w:type="paragraph" w:customStyle="1" w:styleId="CAR-CoverSub">
    <w:name w:val="CAR-CoverSub"/>
    <w:basedOn w:val="Normal"/>
    <w:locked/>
    <w:rsid w:val="00BF20BF"/>
    <w:pPr>
      <w:keepNext/>
      <w:spacing w:before="1440" w:after="360" w:line="240" w:lineRule="auto"/>
      <w:jc w:val="center"/>
    </w:pPr>
    <w:rPr>
      <w:rFonts w:ascii="Arial" w:hAnsi="Arial"/>
      <w:color w:val="000080"/>
      <w:sz w:val="36"/>
    </w:rPr>
  </w:style>
  <w:style w:type="paragraph" w:customStyle="1" w:styleId="FooterCentered">
    <w:name w:val="Footer Centered"/>
    <w:basedOn w:val="Footer"/>
    <w:locked/>
    <w:rsid w:val="00BF20BF"/>
    <w:pPr>
      <w:jc w:val="center"/>
    </w:pPr>
  </w:style>
  <w:style w:type="paragraph" w:customStyle="1" w:styleId="FooterEven">
    <w:name w:val="Footer Even"/>
    <w:basedOn w:val="Footer"/>
    <w:locked/>
    <w:rsid w:val="00BF20BF"/>
  </w:style>
  <w:style w:type="paragraph" w:customStyle="1" w:styleId="FooterOdd">
    <w:name w:val="Footer Odd"/>
    <w:basedOn w:val="Footer"/>
    <w:locked/>
    <w:rsid w:val="00BF20BF"/>
    <w:pPr>
      <w:jc w:val="right"/>
    </w:pPr>
  </w:style>
  <w:style w:type="character" w:customStyle="1" w:styleId="FramedFooter">
    <w:name w:val="Framed Footer"/>
    <w:locked/>
    <w:rsid w:val="00BF20BF"/>
    <w:rPr>
      <w:rFonts w:ascii="Arial" w:hAnsi="Arial"/>
      <w:sz w:val="18"/>
    </w:rPr>
  </w:style>
  <w:style w:type="character" w:customStyle="1" w:styleId="FramedHeader">
    <w:name w:val="Framed Header"/>
    <w:locked/>
    <w:rsid w:val="00BF20BF"/>
    <w:rPr>
      <w:rFonts w:ascii="Arial" w:hAnsi="Arial"/>
      <w:dstrike w:val="0"/>
      <w:color w:val="auto"/>
      <w:sz w:val="18"/>
      <w:vertAlign w:val="baseline"/>
    </w:rPr>
  </w:style>
  <w:style w:type="paragraph" w:customStyle="1" w:styleId="HeaderEven">
    <w:name w:val="Header Even"/>
    <w:basedOn w:val="Header"/>
    <w:locked/>
    <w:rsid w:val="00BF20BF"/>
  </w:style>
  <w:style w:type="paragraph" w:customStyle="1" w:styleId="HeaderOdd">
    <w:name w:val="Header Odd"/>
    <w:basedOn w:val="Header"/>
    <w:locked/>
    <w:rsid w:val="00BF20BF"/>
    <w:pPr>
      <w:jc w:val="right"/>
    </w:pPr>
  </w:style>
  <w:style w:type="paragraph" w:customStyle="1" w:styleId="RecommendationHeading">
    <w:name w:val="Recommendation Heading"/>
    <w:basedOn w:val="HeadingBase"/>
    <w:next w:val="RecommendationText"/>
    <w:locked/>
    <w:rsid w:val="00BF20BF"/>
    <w:pPr>
      <w:spacing w:after="240"/>
    </w:pPr>
    <w:rPr>
      <w:b/>
      <w:sz w:val="22"/>
    </w:rPr>
  </w:style>
  <w:style w:type="paragraph" w:customStyle="1" w:styleId="RecommendationText">
    <w:name w:val="Recommendation Text"/>
    <w:basedOn w:val="RecommendationBaseText"/>
    <w:locked/>
    <w:rsid w:val="00BF20BF"/>
    <w:rPr>
      <w:i/>
    </w:rPr>
  </w:style>
  <w:style w:type="paragraph" w:customStyle="1" w:styleId="RecommendationBaseText">
    <w:name w:val="Recommendation Base Text"/>
    <w:basedOn w:val="Normal"/>
    <w:locked/>
    <w:rsid w:val="00BF20BF"/>
  </w:style>
  <w:style w:type="paragraph" w:customStyle="1" w:styleId="TableTextBase">
    <w:name w:val="Table Text Base"/>
    <w:locked/>
    <w:rsid w:val="00BF20BF"/>
    <w:pPr>
      <w:spacing w:before="40" w:after="40"/>
    </w:pPr>
    <w:rPr>
      <w:rFonts w:ascii="Arial" w:hAnsi="Arial"/>
      <w:color w:val="000000"/>
      <w:sz w:val="16"/>
    </w:rPr>
  </w:style>
  <w:style w:type="paragraph" w:customStyle="1" w:styleId="TableColumnHeadingCentred">
    <w:name w:val="Table Column Heading Centred"/>
    <w:basedOn w:val="TableColumnHeadingBase"/>
    <w:locked/>
    <w:rsid w:val="00BF20BF"/>
    <w:pPr>
      <w:jc w:val="center"/>
    </w:pPr>
  </w:style>
  <w:style w:type="paragraph" w:customStyle="1" w:styleId="TableColumnHeadingBase">
    <w:name w:val="Table Column Heading Base"/>
    <w:basedOn w:val="Normal"/>
    <w:locked/>
    <w:rsid w:val="00BF20BF"/>
    <w:pPr>
      <w:spacing w:before="40" w:after="40" w:line="240" w:lineRule="auto"/>
    </w:pPr>
    <w:rPr>
      <w:rFonts w:ascii="Arial" w:hAnsi="Arial"/>
      <w:b/>
      <w:color w:val="000080"/>
      <w:sz w:val="16"/>
    </w:rPr>
  </w:style>
  <w:style w:type="paragraph" w:customStyle="1" w:styleId="TableColumnHeadingLeft">
    <w:name w:val="Table Column Heading Left"/>
    <w:basedOn w:val="TableColumnHeadingBase"/>
    <w:locked/>
    <w:rsid w:val="00BF20BF"/>
  </w:style>
  <w:style w:type="paragraph" w:customStyle="1" w:styleId="TableColumnHeadingRight">
    <w:name w:val="Table Column Heading Right"/>
    <w:basedOn w:val="TableColumnHeadingBase"/>
    <w:locked/>
    <w:rsid w:val="00BF20BF"/>
    <w:pPr>
      <w:jc w:val="right"/>
    </w:pPr>
  </w:style>
  <w:style w:type="paragraph" w:customStyle="1" w:styleId="TableGraphic">
    <w:name w:val="Table Graphic"/>
    <w:basedOn w:val="HeadingBase"/>
    <w:next w:val="Normal"/>
    <w:locked/>
    <w:rsid w:val="00BF20BF"/>
    <w:pPr>
      <w:spacing w:after="20"/>
      <w:ind w:right="-113"/>
    </w:pPr>
  </w:style>
  <w:style w:type="paragraph" w:customStyle="1" w:styleId="TableMainHeading">
    <w:name w:val="Table Main Heading"/>
    <w:basedOn w:val="HeadingBase"/>
    <w:next w:val="TableGraphic"/>
    <w:locked/>
    <w:rsid w:val="00BF20BF"/>
    <w:pPr>
      <w:spacing w:after="20"/>
    </w:pPr>
    <w:rPr>
      <w:b/>
      <w:sz w:val="22"/>
    </w:rPr>
  </w:style>
  <w:style w:type="paragraph" w:customStyle="1" w:styleId="TableMainHeadingContd">
    <w:name w:val="Table Main Heading Contd"/>
    <w:basedOn w:val="HeadingBase"/>
    <w:next w:val="TableGraphic"/>
    <w:locked/>
    <w:rsid w:val="00BF20BF"/>
    <w:pPr>
      <w:pageBreakBefore/>
      <w:spacing w:after="20"/>
    </w:pPr>
    <w:rPr>
      <w:b/>
      <w:sz w:val="22"/>
    </w:rPr>
  </w:style>
  <w:style w:type="paragraph" w:customStyle="1" w:styleId="TableSecondHeading">
    <w:name w:val="Table Second Heading"/>
    <w:basedOn w:val="HeadingBase"/>
    <w:next w:val="TableGraphic"/>
    <w:locked/>
    <w:rsid w:val="00BF20BF"/>
    <w:pPr>
      <w:spacing w:after="20"/>
    </w:pPr>
  </w:style>
  <w:style w:type="paragraph" w:customStyle="1" w:styleId="TableTextCentered">
    <w:name w:val="Table Text Centered"/>
    <w:basedOn w:val="TableTextBase"/>
    <w:locked/>
    <w:rsid w:val="00BF20BF"/>
    <w:pPr>
      <w:jc w:val="center"/>
    </w:pPr>
  </w:style>
  <w:style w:type="paragraph" w:customStyle="1" w:styleId="TableTextIndented">
    <w:name w:val="Table Text Indented"/>
    <w:basedOn w:val="TableTextBase"/>
    <w:locked/>
    <w:rsid w:val="00BF20BF"/>
    <w:pPr>
      <w:ind w:left="284"/>
    </w:pPr>
  </w:style>
  <w:style w:type="paragraph" w:customStyle="1" w:styleId="TableTextLeft">
    <w:name w:val="Table Text Left"/>
    <w:basedOn w:val="TableTextBase"/>
    <w:locked/>
    <w:rsid w:val="00BF20BF"/>
  </w:style>
  <w:style w:type="paragraph" w:customStyle="1" w:styleId="TableTextRight">
    <w:name w:val="Table Text Right"/>
    <w:basedOn w:val="TableTextBase"/>
    <w:locked/>
    <w:rsid w:val="00BF20BF"/>
    <w:pPr>
      <w:jc w:val="right"/>
    </w:pPr>
  </w:style>
  <w:style w:type="paragraph" w:styleId="TOC1">
    <w:name w:val="toc 1"/>
    <w:basedOn w:val="HeadingBase"/>
    <w:next w:val="Normal"/>
    <w:semiHidden/>
    <w:locked/>
    <w:rsid w:val="00BF20BF"/>
    <w:pPr>
      <w:tabs>
        <w:tab w:val="right" w:leader="dot" w:pos="7700"/>
      </w:tabs>
      <w:spacing w:before="180"/>
      <w:ind w:right="851"/>
    </w:pPr>
    <w:rPr>
      <w:b/>
      <w:smallCaps/>
      <w:sz w:val="22"/>
      <w:szCs w:val="22"/>
    </w:rPr>
  </w:style>
  <w:style w:type="paragraph" w:styleId="TOC2">
    <w:name w:val="toc 2"/>
    <w:basedOn w:val="HeadingBase"/>
    <w:next w:val="Normal"/>
    <w:semiHidden/>
    <w:locked/>
    <w:rsid w:val="00BF20BF"/>
    <w:pPr>
      <w:tabs>
        <w:tab w:val="right" w:leader="dot" w:pos="7700"/>
      </w:tabs>
      <w:spacing w:before="40" w:after="20"/>
      <w:ind w:right="851"/>
    </w:pPr>
  </w:style>
  <w:style w:type="paragraph" w:styleId="TOC3">
    <w:name w:val="toc 3"/>
    <w:basedOn w:val="Normal"/>
    <w:next w:val="Normal"/>
    <w:semiHidden/>
    <w:locked/>
    <w:rsid w:val="00BF20BF"/>
    <w:pPr>
      <w:tabs>
        <w:tab w:val="right" w:leader="dot" w:pos="7700"/>
      </w:tabs>
      <w:spacing w:before="20" w:after="0" w:line="240" w:lineRule="auto"/>
      <w:ind w:left="284" w:right="851"/>
    </w:pPr>
  </w:style>
  <w:style w:type="paragraph" w:styleId="TOC4">
    <w:name w:val="toc 4"/>
    <w:basedOn w:val="Normal"/>
    <w:next w:val="Normal"/>
    <w:semiHidden/>
    <w:locked/>
    <w:rsid w:val="00BF20BF"/>
    <w:pPr>
      <w:numPr>
        <w:numId w:val="8"/>
      </w:numPr>
      <w:tabs>
        <w:tab w:val="right" w:leader="dot" w:pos="7700"/>
      </w:tabs>
      <w:spacing w:after="0" w:line="240" w:lineRule="auto"/>
      <w:ind w:right="851"/>
    </w:pPr>
  </w:style>
  <w:style w:type="character" w:customStyle="1" w:styleId="Italic">
    <w:name w:val="Italic"/>
    <w:locked/>
    <w:rsid w:val="00BF20BF"/>
    <w:rPr>
      <w:i/>
    </w:rPr>
  </w:style>
  <w:style w:type="paragraph" w:customStyle="1" w:styleId="OneLevelNumberedParagraph">
    <w:name w:val="One Level Numbered Paragraph"/>
    <w:basedOn w:val="Normal"/>
    <w:locked/>
    <w:rsid w:val="00BF20BF"/>
    <w:pPr>
      <w:numPr>
        <w:numId w:val="7"/>
      </w:numPr>
      <w:tabs>
        <w:tab w:val="clear" w:pos="283"/>
        <w:tab w:val="num" w:pos="567"/>
      </w:tabs>
      <w:ind w:left="567" w:hanging="567"/>
    </w:pPr>
  </w:style>
  <w:style w:type="paragraph" w:customStyle="1" w:styleId="BoxBullet">
    <w:name w:val="Box Bullet"/>
    <w:basedOn w:val="BoxTextBase"/>
    <w:locked/>
    <w:rsid w:val="00BF20BF"/>
    <w:pPr>
      <w:numPr>
        <w:ilvl w:val="1"/>
        <w:numId w:val="7"/>
      </w:numPr>
      <w:tabs>
        <w:tab w:val="clear" w:pos="567"/>
        <w:tab w:val="num" w:pos="283"/>
      </w:tabs>
      <w:ind w:left="283" w:hanging="283"/>
    </w:pPr>
  </w:style>
  <w:style w:type="paragraph" w:customStyle="1" w:styleId="BoxDash">
    <w:name w:val="Box Dash"/>
    <w:basedOn w:val="Normal"/>
    <w:locked/>
    <w:rsid w:val="00BF20BF"/>
    <w:pPr>
      <w:numPr>
        <w:ilvl w:val="2"/>
        <w:numId w:val="7"/>
      </w:numPr>
      <w:tabs>
        <w:tab w:val="clear" w:pos="850"/>
        <w:tab w:val="num" w:pos="567"/>
      </w:tabs>
      <w:ind w:left="567" w:hanging="284"/>
    </w:pPr>
  </w:style>
  <w:style w:type="paragraph" w:customStyle="1" w:styleId="BoxDoubleDot">
    <w:name w:val="Box Double Dot"/>
    <w:basedOn w:val="BoxTextBase"/>
    <w:locked/>
    <w:rsid w:val="00BF20BF"/>
    <w:pPr>
      <w:numPr>
        <w:numId w:val="9"/>
      </w:numPr>
      <w:tabs>
        <w:tab w:val="clear" w:pos="283"/>
        <w:tab w:val="num" w:pos="850"/>
      </w:tabs>
      <w:ind w:left="850"/>
    </w:pPr>
  </w:style>
  <w:style w:type="paragraph" w:customStyle="1" w:styleId="RecommendationBullet">
    <w:name w:val="Recommendation Bullet"/>
    <w:basedOn w:val="RecommendationBaseText"/>
    <w:locked/>
    <w:rsid w:val="00BF20BF"/>
    <w:pPr>
      <w:numPr>
        <w:ilvl w:val="1"/>
        <w:numId w:val="9"/>
      </w:numPr>
      <w:tabs>
        <w:tab w:val="clear" w:pos="567"/>
        <w:tab w:val="num" w:pos="283"/>
      </w:tabs>
      <w:ind w:left="283" w:hanging="283"/>
    </w:pPr>
  </w:style>
  <w:style w:type="paragraph" w:customStyle="1" w:styleId="RecommendationDash">
    <w:name w:val="Recommendation Dash"/>
    <w:basedOn w:val="RecommendationBaseText"/>
    <w:locked/>
    <w:rsid w:val="00BF20BF"/>
    <w:pPr>
      <w:numPr>
        <w:ilvl w:val="2"/>
        <w:numId w:val="9"/>
      </w:numPr>
      <w:tabs>
        <w:tab w:val="clear" w:pos="850"/>
        <w:tab w:val="num" w:pos="567"/>
      </w:tabs>
      <w:ind w:left="567" w:hanging="284"/>
    </w:pPr>
  </w:style>
  <w:style w:type="paragraph" w:customStyle="1" w:styleId="RecommendationDoubleDot">
    <w:name w:val="Recommendation Double Dot"/>
    <w:basedOn w:val="RecommendationBaseText"/>
    <w:locked/>
    <w:rsid w:val="00BF20BF"/>
    <w:pPr>
      <w:tabs>
        <w:tab w:val="num" w:pos="850"/>
      </w:tabs>
      <w:ind w:left="850" w:hanging="283"/>
    </w:pPr>
  </w:style>
  <w:style w:type="character" w:customStyle="1" w:styleId="Boldanditalic">
    <w:name w:val="Bold and italic"/>
    <w:locked/>
    <w:rsid w:val="00BF20BF"/>
    <w:rPr>
      <w:b/>
      <w:i/>
    </w:rPr>
  </w:style>
  <w:style w:type="paragraph" w:customStyle="1" w:styleId="Normalnumbered">
    <w:name w:val="Normal numbered"/>
    <w:basedOn w:val="Normal"/>
    <w:locked/>
    <w:rsid w:val="00BF20BF"/>
    <w:pPr>
      <w:numPr>
        <w:numId w:val="13"/>
      </w:numPr>
      <w:jc w:val="both"/>
    </w:pPr>
  </w:style>
  <w:style w:type="paragraph" w:customStyle="1" w:styleId="Romannumeral">
    <w:name w:val="Roman numeral"/>
    <w:basedOn w:val="Normal"/>
    <w:locked/>
    <w:rsid w:val="00BF20BF"/>
    <w:pPr>
      <w:numPr>
        <w:numId w:val="10"/>
      </w:numPr>
    </w:pPr>
  </w:style>
  <w:style w:type="paragraph" w:customStyle="1" w:styleId="AlphaLevel3">
    <w:name w:val="Alpha Level 3"/>
    <w:basedOn w:val="Normal"/>
    <w:locked/>
    <w:rsid w:val="00BF20BF"/>
    <w:pPr>
      <w:numPr>
        <w:numId w:val="11"/>
      </w:numPr>
    </w:pPr>
  </w:style>
  <w:style w:type="paragraph" w:customStyle="1" w:styleId="AlphaLevel4">
    <w:name w:val="Alpha Level 4"/>
    <w:basedOn w:val="Normal"/>
    <w:locked/>
    <w:rsid w:val="00BF20BF"/>
    <w:pPr>
      <w:numPr>
        <w:numId w:val="12"/>
      </w:numPr>
      <w:jc w:val="both"/>
    </w:pPr>
  </w:style>
  <w:style w:type="paragraph" w:customStyle="1" w:styleId="NormalJustified">
    <w:name w:val="Normal Justified"/>
    <w:basedOn w:val="Normal"/>
    <w:locked/>
    <w:rsid w:val="00BF20BF"/>
    <w:pPr>
      <w:jc w:val="both"/>
    </w:pPr>
  </w:style>
  <w:style w:type="paragraph" w:customStyle="1" w:styleId="RomanNumeralJustified">
    <w:name w:val="Roman Numeral Justified"/>
    <w:basedOn w:val="Romannumeral"/>
    <w:locked/>
    <w:rsid w:val="00BF20BF"/>
    <w:pPr>
      <w:numPr>
        <w:numId w:val="0"/>
      </w:numPr>
      <w:tabs>
        <w:tab w:val="left" w:pos="1134"/>
      </w:tabs>
      <w:jc w:val="both"/>
    </w:pPr>
  </w:style>
  <w:style w:type="paragraph" w:customStyle="1" w:styleId="RomannumeralJustified0">
    <w:name w:val="Roman numeral Justified"/>
    <w:basedOn w:val="Romannumeral"/>
    <w:locked/>
    <w:rsid w:val="00BF20BF"/>
    <w:pPr>
      <w:numPr>
        <w:numId w:val="0"/>
      </w:numPr>
      <w:jc w:val="both"/>
    </w:pPr>
  </w:style>
  <w:style w:type="paragraph" w:customStyle="1" w:styleId="Style1">
    <w:name w:val="Style1"/>
    <w:basedOn w:val="Normal"/>
    <w:locked/>
    <w:rsid w:val="00BF20BF"/>
    <w:pPr>
      <w:numPr>
        <w:numId w:val="15"/>
      </w:numPr>
    </w:pPr>
  </w:style>
  <w:style w:type="paragraph" w:customStyle="1" w:styleId="CAR-Indent-Alpha-Upper">
    <w:name w:val="CAR-Indent-Alpha-Upper"/>
    <w:locked/>
    <w:rsid w:val="00BF20BF"/>
    <w:pPr>
      <w:numPr>
        <w:numId w:val="14"/>
      </w:numPr>
      <w:spacing w:after="240" w:line="260" w:lineRule="exact"/>
    </w:pPr>
    <w:rPr>
      <w:rFonts w:ascii="Book Antiqua" w:hAnsi="Book Antiqua"/>
      <w:lang w:eastAsia="en-US"/>
    </w:rPr>
  </w:style>
  <w:style w:type="paragraph" w:customStyle="1" w:styleId="CAR-TableText-Left">
    <w:name w:val="CAR-TableText-Left"/>
    <w:locked/>
    <w:rsid w:val="00BF20BF"/>
    <w:pPr>
      <w:spacing w:before="40" w:after="40"/>
    </w:pPr>
    <w:rPr>
      <w:rFonts w:ascii="Arial" w:hAnsi="Arial"/>
      <w:sz w:val="16"/>
      <w:lang w:eastAsia="en-US"/>
    </w:rPr>
  </w:style>
  <w:style w:type="paragraph" w:customStyle="1" w:styleId="CAR-Indent-Alpha-Lower0">
    <w:name w:val="CAR-Indent-Alpha-Lower"/>
    <w:locked/>
    <w:rsid w:val="00BF20BF"/>
    <w:pPr>
      <w:numPr>
        <w:numId w:val="16"/>
      </w:numPr>
      <w:spacing w:after="240" w:line="260" w:lineRule="exact"/>
    </w:pPr>
    <w:rPr>
      <w:rFonts w:ascii="Book Antiqua" w:hAnsi="Book Antiqua"/>
      <w:lang w:eastAsia="en-US"/>
    </w:rPr>
  </w:style>
  <w:style w:type="paragraph" w:customStyle="1" w:styleId="CAR-Indent-Number">
    <w:name w:val="CAR-Indent-Number"/>
    <w:locked/>
    <w:rsid w:val="00BF20BF"/>
    <w:pPr>
      <w:numPr>
        <w:numId w:val="17"/>
      </w:numPr>
      <w:spacing w:after="240" w:line="260" w:lineRule="exact"/>
      <w:jc w:val="both"/>
    </w:pPr>
    <w:rPr>
      <w:rFonts w:ascii="Book Antiqua" w:hAnsi="Book Antiqua"/>
      <w:lang w:eastAsia="en-US"/>
    </w:rPr>
  </w:style>
  <w:style w:type="paragraph" w:customStyle="1" w:styleId="CAR-BodyText-Just">
    <w:name w:val="CAR-BodyText-Just"/>
    <w:locked/>
    <w:rsid w:val="00BF20BF"/>
    <w:pPr>
      <w:spacing w:after="240" w:line="260" w:lineRule="exact"/>
      <w:jc w:val="both"/>
    </w:pPr>
    <w:rPr>
      <w:rFonts w:ascii="Book Antiqua" w:hAnsi="Book Antiqua"/>
      <w:color w:val="000000"/>
      <w:lang w:eastAsia="en-US"/>
    </w:rPr>
  </w:style>
  <w:style w:type="paragraph" w:customStyle="1" w:styleId="CAR-Heading-1">
    <w:name w:val="CAR-Heading-1"/>
    <w:locked/>
    <w:rsid w:val="00BF20BF"/>
    <w:pPr>
      <w:keepNext/>
      <w:spacing w:before="240" w:after="240"/>
    </w:pPr>
    <w:rPr>
      <w:rFonts w:ascii="Arial Bold" w:hAnsi="Arial Bold"/>
      <w:b/>
      <w:color w:val="000080"/>
      <w:kern w:val="32"/>
      <w:sz w:val="32"/>
      <w:lang w:eastAsia="en-US"/>
    </w:rPr>
  </w:style>
  <w:style w:type="paragraph" w:customStyle="1" w:styleId="CAR-BodyText-Left">
    <w:name w:val="CAR-BodyText-Left"/>
    <w:locked/>
    <w:rsid w:val="00BF20BF"/>
    <w:pPr>
      <w:spacing w:after="240" w:line="260" w:lineRule="exact"/>
    </w:pPr>
    <w:rPr>
      <w:rFonts w:ascii="Book Antiqua" w:hAnsi="Book Antiqua"/>
      <w:lang w:eastAsia="en-US"/>
    </w:rPr>
  </w:style>
  <w:style w:type="paragraph" w:customStyle="1" w:styleId="CAR-Bullet-1">
    <w:name w:val="CAR-Bullet-1"/>
    <w:locked/>
    <w:rsid w:val="00BF20BF"/>
    <w:pPr>
      <w:numPr>
        <w:numId w:val="18"/>
      </w:numPr>
      <w:spacing w:after="240" w:line="260" w:lineRule="exact"/>
    </w:pPr>
    <w:rPr>
      <w:rFonts w:ascii="Book Antiqua" w:hAnsi="Book Antiqua"/>
      <w:color w:val="000000"/>
      <w:lang w:eastAsia="en-US"/>
    </w:rPr>
  </w:style>
  <w:style w:type="paragraph" w:customStyle="1" w:styleId="CAR-Flush-Alpha-Lower">
    <w:name w:val="CAR-Flush-Alpha-Lower"/>
    <w:locked/>
    <w:rsid w:val="00BF20BF"/>
    <w:pPr>
      <w:numPr>
        <w:numId w:val="19"/>
      </w:numPr>
      <w:spacing w:after="240" w:line="260" w:lineRule="exact"/>
    </w:pPr>
    <w:rPr>
      <w:rFonts w:ascii="Book Antiqua" w:hAnsi="Book Antiqua"/>
      <w:lang w:eastAsia="en-US"/>
    </w:rPr>
  </w:style>
  <w:style w:type="paragraph" w:customStyle="1" w:styleId="CAR-Heading-2">
    <w:name w:val="CAR-Heading-2"/>
    <w:locked/>
    <w:rsid w:val="00BF20BF"/>
    <w:pPr>
      <w:keepNext/>
      <w:spacing w:before="240" w:after="120"/>
    </w:pPr>
    <w:rPr>
      <w:rFonts w:ascii="Arial Bold" w:hAnsi="Arial Bold"/>
      <w:b/>
      <w:color w:val="000080"/>
      <w:sz w:val="28"/>
      <w:lang w:eastAsia="en-US"/>
    </w:rPr>
  </w:style>
  <w:style w:type="paragraph" w:customStyle="1" w:styleId="CoverTitleMain">
    <w:name w:val="Cover Title Main"/>
    <w:basedOn w:val="HeadingBase"/>
    <w:next w:val="Normal"/>
    <w:locked/>
    <w:rsid w:val="00BF20BF"/>
    <w:pPr>
      <w:spacing w:before="480" w:after="480"/>
      <w:jc w:val="center"/>
    </w:pPr>
    <w:rPr>
      <w:b/>
      <w:sz w:val="48"/>
    </w:rPr>
  </w:style>
  <w:style w:type="paragraph" w:customStyle="1" w:styleId="CoverTitleSub">
    <w:name w:val="Cover Title Sub"/>
    <w:basedOn w:val="HeadingBase"/>
    <w:locked/>
    <w:rsid w:val="00BF20BF"/>
    <w:pPr>
      <w:spacing w:before="1440" w:after="360"/>
      <w:jc w:val="center"/>
    </w:pPr>
    <w:rPr>
      <w:sz w:val="36"/>
    </w:rPr>
  </w:style>
  <w:style w:type="paragraph" w:customStyle="1" w:styleId="CAR-TableText-Right">
    <w:name w:val="CAR-TableText-Right"/>
    <w:locked/>
    <w:rsid w:val="00BF20BF"/>
    <w:pPr>
      <w:spacing w:before="40" w:after="40"/>
      <w:jc w:val="right"/>
    </w:pPr>
    <w:rPr>
      <w:rFonts w:ascii="Arial" w:hAnsi="Arial"/>
      <w:sz w:val="16"/>
      <w:lang w:eastAsia="en-US"/>
    </w:rPr>
  </w:style>
  <w:style w:type="paragraph" w:styleId="Caption">
    <w:name w:val="caption"/>
    <w:basedOn w:val="Normal"/>
    <w:next w:val="Normal"/>
    <w:qFormat/>
    <w:locked/>
    <w:rsid w:val="00BF20BF"/>
    <w:pPr>
      <w:spacing w:before="120" w:after="120"/>
    </w:pPr>
    <w:rPr>
      <w:b/>
      <w:bCs/>
    </w:rPr>
  </w:style>
  <w:style w:type="paragraph" w:customStyle="1" w:styleId="CAR-TableColHead-Centre">
    <w:name w:val="CAR-TableColHead-Centre"/>
    <w:locked/>
    <w:rsid w:val="00BF20BF"/>
    <w:pPr>
      <w:spacing w:before="40" w:after="40"/>
      <w:jc w:val="center"/>
    </w:pPr>
    <w:rPr>
      <w:rFonts w:ascii="Arial" w:hAnsi="Arial"/>
      <w:b/>
      <w:color w:val="000080"/>
      <w:sz w:val="16"/>
      <w:lang w:eastAsia="en-US"/>
    </w:rPr>
  </w:style>
  <w:style w:type="paragraph" w:customStyle="1" w:styleId="CAR-TableColHead-Left">
    <w:name w:val="CAR-TableColHead-Left"/>
    <w:locked/>
    <w:rsid w:val="00BF20BF"/>
    <w:pPr>
      <w:spacing w:before="40" w:after="40"/>
    </w:pPr>
    <w:rPr>
      <w:rFonts w:ascii="Arial Bold" w:hAnsi="Arial Bold"/>
      <w:b/>
      <w:color w:val="000080"/>
      <w:sz w:val="16"/>
      <w:lang w:eastAsia="en-US"/>
    </w:rPr>
  </w:style>
  <w:style w:type="paragraph" w:customStyle="1" w:styleId="CAR-TableColHead-Right">
    <w:name w:val="CAR-TableColHead-Right"/>
    <w:locked/>
    <w:rsid w:val="00BF20BF"/>
    <w:pPr>
      <w:keepNext/>
      <w:spacing w:before="40" w:after="40"/>
      <w:jc w:val="right"/>
    </w:pPr>
    <w:rPr>
      <w:rFonts w:ascii="Arial" w:hAnsi="Arial"/>
      <w:b/>
      <w:color w:val="000080"/>
      <w:sz w:val="16"/>
      <w:lang w:eastAsia="en-US"/>
    </w:rPr>
  </w:style>
  <w:style w:type="paragraph" w:customStyle="1" w:styleId="CAR-TableMainHead">
    <w:name w:val="CAR-TableMainHead"/>
    <w:next w:val="Normal"/>
    <w:locked/>
    <w:rsid w:val="00BF20BF"/>
    <w:pPr>
      <w:keepNext/>
      <w:spacing w:after="20"/>
    </w:pPr>
    <w:rPr>
      <w:rFonts w:ascii="Arial" w:hAnsi="Arial"/>
      <w:b/>
      <w:color w:val="000080"/>
      <w:sz w:val="22"/>
      <w:lang w:eastAsia="en-US"/>
    </w:rPr>
  </w:style>
  <w:style w:type="paragraph" w:customStyle="1" w:styleId="CAR-Heading-3">
    <w:name w:val="CAR-Heading-3"/>
    <w:locked/>
    <w:rsid w:val="00BF20BF"/>
    <w:pPr>
      <w:keepNext/>
      <w:spacing w:before="40" w:after="40"/>
    </w:pPr>
    <w:rPr>
      <w:rFonts w:ascii="Arial Bold" w:hAnsi="Arial Bold"/>
      <w:color w:val="000080"/>
      <w:lang w:eastAsia="en-US"/>
    </w:rPr>
  </w:style>
  <w:style w:type="paragraph" w:customStyle="1" w:styleId="CAR-Flush-Number">
    <w:name w:val="CAR-Flush-Number"/>
    <w:locked/>
    <w:rsid w:val="00BF20BF"/>
    <w:pPr>
      <w:numPr>
        <w:numId w:val="22"/>
      </w:numPr>
      <w:spacing w:after="240" w:line="260" w:lineRule="exact"/>
      <w:jc w:val="both"/>
    </w:pPr>
    <w:rPr>
      <w:rFonts w:ascii="Book Antiqua" w:hAnsi="Book Antiqua"/>
      <w:lang w:eastAsia="en-US"/>
    </w:rPr>
  </w:style>
  <w:style w:type="paragraph" w:customStyle="1" w:styleId="CAR-DecisionFoot-1">
    <w:name w:val="CAR-DecisionFoot-1"/>
    <w:locked/>
    <w:rsid w:val="00BF20BF"/>
    <w:pPr>
      <w:spacing w:line="260" w:lineRule="exact"/>
    </w:pPr>
    <w:rPr>
      <w:rFonts w:ascii="Book Antiqua" w:hAnsi="Book Antiqua"/>
      <w:lang w:eastAsia="en-US"/>
    </w:rPr>
  </w:style>
  <w:style w:type="paragraph" w:customStyle="1" w:styleId="CAR-Indent-Roman-1">
    <w:name w:val="CAR-Indent-Roman-1"/>
    <w:locked/>
    <w:rsid w:val="00BF20BF"/>
    <w:pPr>
      <w:numPr>
        <w:numId w:val="20"/>
      </w:numPr>
      <w:spacing w:after="240" w:line="260" w:lineRule="exact"/>
      <w:jc w:val="both"/>
    </w:pPr>
    <w:rPr>
      <w:rFonts w:ascii="Book Antiqua" w:hAnsi="Book Antiqua"/>
      <w:lang w:eastAsia="en-US"/>
    </w:rPr>
  </w:style>
  <w:style w:type="paragraph" w:customStyle="1" w:styleId="CAR-Heading-5">
    <w:name w:val="CAR-Heading-5"/>
    <w:locked/>
    <w:rsid w:val="00BF20BF"/>
    <w:pPr>
      <w:spacing w:after="240"/>
      <w:jc w:val="center"/>
    </w:pPr>
    <w:rPr>
      <w:rFonts w:ascii="Arial Bold" w:hAnsi="Arial Bold"/>
      <w:b/>
      <w:color w:val="000080"/>
      <w:kern w:val="32"/>
      <w:sz w:val="28"/>
      <w:lang w:eastAsia="en-US"/>
    </w:rPr>
  </w:style>
  <w:style w:type="paragraph" w:customStyle="1" w:styleId="CAR-Heading-4">
    <w:name w:val="CAR-Heading-4"/>
    <w:locked/>
    <w:rsid w:val="00BF20BF"/>
    <w:pPr>
      <w:spacing w:after="240"/>
    </w:pPr>
    <w:rPr>
      <w:rFonts w:ascii="Arial Bold" w:hAnsi="Arial Bold"/>
      <w:b/>
      <w:color w:val="000080"/>
      <w:sz w:val="22"/>
      <w:lang w:eastAsia="en-US"/>
    </w:rPr>
  </w:style>
  <w:style w:type="paragraph" w:customStyle="1" w:styleId="CAR-Flush-Alpha-Upper">
    <w:name w:val="CAR-Flush-Alpha-Upper"/>
    <w:locked/>
    <w:rsid w:val="00BF20BF"/>
    <w:pPr>
      <w:numPr>
        <w:numId w:val="21"/>
      </w:numPr>
      <w:spacing w:after="240" w:line="260" w:lineRule="exact"/>
      <w:jc w:val="both"/>
    </w:pPr>
    <w:rPr>
      <w:rFonts w:ascii="Book Antiqua" w:hAnsi="Book Antiqua"/>
      <w:lang w:eastAsia="en-US"/>
    </w:rPr>
  </w:style>
  <w:style w:type="paragraph" w:customStyle="1" w:styleId="CAR-DecisionFoot-2">
    <w:name w:val="CAR-DecisionFoot-2"/>
    <w:locked/>
    <w:rsid w:val="00BF20BF"/>
    <w:pPr>
      <w:spacing w:line="260" w:lineRule="exact"/>
    </w:pPr>
    <w:rPr>
      <w:rFonts w:ascii="Book Antiqua" w:hAnsi="Book Antiqua"/>
      <w:b/>
      <w:lang w:eastAsia="en-US"/>
    </w:rPr>
  </w:style>
  <w:style w:type="paragraph" w:customStyle="1" w:styleId="CAR-DecisionHead">
    <w:name w:val="CAR-DecisionHead"/>
    <w:locked/>
    <w:rsid w:val="00BF20BF"/>
    <w:pPr>
      <w:spacing w:line="260" w:lineRule="exact"/>
    </w:pPr>
    <w:rPr>
      <w:rFonts w:ascii="Book Antiqua" w:hAnsi="Book Antiqua"/>
      <w:lang w:eastAsia="en-US"/>
    </w:rPr>
  </w:style>
  <w:style w:type="paragraph" w:styleId="BodyText">
    <w:name w:val="Body Text"/>
    <w:basedOn w:val="Normal"/>
    <w:semiHidden/>
    <w:locked/>
    <w:rsid w:val="00BF20BF"/>
    <w:pPr>
      <w:spacing w:before="360"/>
      <w:ind w:right="561"/>
      <w:jc w:val="both"/>
    </w:pPr>
  </w:style>
  <w:style w:type="paragraph" w:styleId="BalloonText">
    <w:name w:val="Balloon Text"/>
    <w:basedOn w:val="Normal"/>
    <w:semiHidden/>
    <w:locked/>
    <w:rsid w:val="00BF20BF"/>
    <w:rPr>
      <w:rFonts w:ascii="Tahoma" w:hAnsi="Tahoma" w:cs="Tahoma"/>
      <w:sz w:val="16"/>
      <w:szCs w:val="16"/>
    </w:rPr>
  </w:style>
  <w:style w:type="paragraph" w:customStyle="1" w:styleId="Text-1">
    <w:name w:val="Text-1"/>
    <w:locked/>
    <w:rsid w:val="00BF20BF"/>
    <w:pPr>
      <w:spacing w:before="240"/>
      <w:ind w:left="567"/>
      <w:jc w:val="both"/>
    </w:pPr>
    <w:rPr>
      <w:rFonts w:ascii="Palatino" w:hAnsi="Palatino"/>
      <w:sz w:val="24"/>
      <w:lang w:eastAsia="en-US"/>
    </w:rPr>
  </w:style>
  <w:style w:type="paragraph" w:customStyle="1" w:styleId="LDStandard1">
    <w:name w:val="LD_Standard1"/>
    <w:basedOn w:val="Normal"/>
    <w:locked/>
    <w:rsid w:val="00BF20BF"/>
    <w:pPr>
      <w:keepNext/>
      <w:keepLines/>
      <w:numPr>
        <w:numId w:val="23"/>
      </w:numPr>
      <w:spacing w:before="120" w:after="60" w:line="240" w:lineRule="auto"/>
    </w:pPr>
    <w:rPr>
      <w:rFonts w:ascii="Arial" w:hAnsi="Arial" w:cs="Arial"/>
      <w:b/>
      <w:bCs/>
      <w:color w:val="auto"/>
      <w:sz w:val="22"/>
      <w:szCs w:val="22"/>
      <w:lang w:eastAsia="en-US"/>
    </w:rPr>
  </w:style>
  <w:style w:type="paragraph" w:customStyle="1" w:styleId="LDStandard2">
    <w:name w:val="LD_Standard2"/>
    <w:basedOn w:val="Normal"/>
    <w:locked/>
    <w:rsid w:val="00BF20BF"/>
    <w:pPr>
      <w:numPr>
        <w:ilvl w:val="1"/>
        <w:numId w:val="23"/>
      </w:numPr>
      <w:spacing w:before="120" w:after="0" w:line="360" w:lineRule="auto"/>
      <w:jc w:val="both"/>
    </w:pPr>
    <w:rPr>
      <w:rFonts w:ascii="Arial" w:hAnsi="Arial" w:cs="Arial"/>
      <w:color w:val="auto"/>
      <w:sz w:val="22"/>
      <w:szCs w:val="22"/>
      <w:lang w:eastAsia="en-US"/>
    </w:rPr>
  </w:style>
  <w:style w:type="paragraph" w:customStyle="1" w:styleId="LDStandard3">
    <w:name w:val="LD_Standard3"/>
    <w:basedOn w:val="Normal"/>
    <w:locked/>
    <w:rsid w:val="00BF20BF"/>
    <w:pPr>
      <w:numPr>
        <w:ilvl w:val="2"/>
        <w:numId w:val="23"/>
      </w:numPr>
      <w:spacing w:before="120" w:after="0" w:line="360" w:lineRule="auto"/>
      <w:jc w:val="both"/>
    </w:pPr>
    <w:rPr>
      <w:rFonts w:ascii="Arial" w:hAnsi="Arial" w:cs="Arial"/>
      <w:color w:val="auto"/>
      <w:sz w:val="22"/>
      <w:szCs w:val="22"/>
      <w:lang w:eastAsia="en-US"/>
    </w:rPr>
  </w:style>
  <w:style w:type="paragraph" w:customStyle="1" w:styleId="LDStandard4">
    <w:name w:val="LD_Standard4"/>
    <w:basedOn w:val="Normal"/>
    <w:locked/>
    <w:rsid w:val="00BF20BF"/>
    <w:pPr>
      <w:numPr>
        <w:ilvl w:val="3"/>
        <w:numId w:val="23"/>
      </w:numPr>
      <w:spacing w:before="120" w:after="0" w:line="360" w:lineRule="auto"/>
      <w:jc w:val="both"/>
    </w:pPr>
    <w:rPr>
      <w:rFonts w:ascii="Arial" w:hAnsi="Arial" w:cs="Arial"/>
      <w:color w:val="auto"/>
      <w:sz w:val="22"/>
      <w:szCs w:val="22"/>
      <w:lang w:eastAsia="en-US"/>
    </w:rPr>
  </w:style>
  <w:style w:type="paragraph" w:customStyle="1" w:styleId="LDStandard5">
    <w:name w:val="LD_Standard5"/>
    <w:basedOn w:val="Normal"/>
    <w:locked/>
    <w:rsid w:val="00BF20BF"/>
    <w:pPr>
      <w:numPr>
        <w:ilvl w:val="4"/>
        <w:numId w:val="23"/>
      </w:numPr>
      <w:spacing w:before="120" w:after="0" w:line="360" w:lineRule="auto"/>
      <w:jc w:val="both"/>
    </w:pPr>
    <w:rPr>
      <w:rFonts w:ascii="Arial" w:hAnsi="Arial" w:cs="Arial"/>
      <w:color w:val="auto"/>
      <w:sz w:val="22"/>
      <w:szCs w:val="22"/>
      <w:lang w:eastAsia="en-US"/>
    </w:rPr>
  </w:style>
  <w:style w:type="paragraph" w:customStyle="1" w:styleId="LDStandard6">
    <w:name w:val="LD_Standard6"/>
    <w:basedOn w:val="Normal"/>
    <w:locked/>
    <w:rsid w:val="00BF20BF"/>
    <w:pPr>
      <w:numPr>
        <w:ilvl w:val="5"/>
        <w:numId w:val="23"/>
      </w:numPr>
      <w:spacing w:before="120" w:after="0" w:line="360" w:lineRule="auto"/>
      <w:jc w:val="both"/>
    </w:pPr>
    <w:rPr>
      <w:rFonts w:ascii="Arial" w:hAnsi="Arial" w:cs="Arial"/>
      <w:color w:val="auto"/>
      <w:sz w:val="22"/>
      <w:szCs w:val="22"/>
      <w:lang w:eastAsia="en-US"/>
    </w:rPr>
  </w:style>
  <w:style w:type="paragraph" w:customStyle="1" w:styleId="Level1fo">
    <w:name w:val="Level 1.fo"/>
    <w:basedOn w:val="Normal"/>
    <w:locked/>
    <w:rsid w:val="00BF20BF"/>
    <w:pPr>
      <w:spacing w:before="240" w:after="0" w:line="240" w:lineRule="auto"/>
      <w:ind w:left="720"/>
    </w:pPr>
    <w:rPr>
      <w:rFonts w:ascii="Palatino" w:hAnsi="Palatino"/>
      <w:color w:val="auto"/>
      <w:sz w:val="22"/>
      <w:lang w:eastAsia="en-US"/>
    </w:rPr>
  </w:style>
  <w:style w:type="paragraph" w:customStyle="1" w:styleId="AlphaLower-2">
    <w:name w:val="AlphaLower-2"/>
    <w:locked/>
    <w:rsid w:val="00BF20BF"/>
    <w:pPr>
      <w:numPr>
        <w:numId w:val="24"/>
      </w:numPr>
      <w:tabs>
        <w:tab w:val="left" w:pos="1418"/>
      </w:tabs>
      <w:spacing w:before="240"/>
      <w:jc w:val="both"/>
    </w:pPr>
    <w:rPr>
      <w:rFonts w:ascii="Palatino" w:hAnsi="Palatino"/>
      <w:sz w:val="24"/>
      <w:lang w:eastAsia="en-US"/>
    </w:rPr>
  </w:style>
  <w:style w:type="paragraph" w:customStyle="1" w:styleId="NumLarge-1">
    <w:name w:val="NumLarge-1"/>
    <w:locked/>
    <w:rsid w:val="00BF20BF"/>
    <w:pPr>
      <w:numPr>
        <w:numId w:val="25"/>
      </w:numPr>
      <w:spacing w:after="240" w:line="260" w:lineRule="exact"/>
      <w:jc w:val="both"/>
    </w:pPr>
    <w:rPr>
      <w:rFonts w:ascii="Book Antiqua" w:hAnsi="Book Antiqua"/>
      <w:lang w:eastAsia="en-US"/>
    </w:rPr>
  </w:style>
  <w:style w:type="paragraph" w:customStyle="1" w:styleId="NumSmall-3">
    <w:name w:val="NumSmall-3"/>
    <w:locked/>
    <w:rsid w:val="00BF20BF"/>
    <w:pPr>
      <w:numPr>
        <w:numId w:val="26"/>
      </w:numPr>
      <w:tabs>
        <w:tab w:val="clear" w:pos="2127"/>
        <w:tab w:val="left" w:pos="2126"/>
      </w:tabs>
      <w:spacing w:before="240"/>
      <w:jc w:val="both"/>
    </w:pPr>
    <w:rPr>
      <w:rFonts w:ascii="Palatino" w:hAnsi="Palatino"/>
      <w:sz w:val="24"/>
      <w:lang w:eastAsia="en-US"/>
    </w:rPr>
  </w:style>
  <w:style w:type="paragraph" w:customStyle="1" w:styleId="BodyText-3">
    <w:name w:val="BodyText-3"/>
    <w:locked/>
    <w:rsid w:val="00BF20BF"/>
    <w:pPr>
      <w:spacing w:before="120"/>
      <w:ind w:left="1418"/>
      <w:jc w:val="both"/>
    </w:pPr>
    <w:rPr>
      <w:rFonts w:ascii="Palatino" w:hAnsi="Palatino"/>
      <w:sz w:val="24"/>
      <w:lang w:eastAsia="en-US"/>
    </w:rPr>
  </w:style>
  <w:style w:type="paragraph" w:customStyle="1" w:styleId="BodyText-1">
    <w:name w:val="BodyText-1"/>
    <w:locked/>
    <w:rsid w:val="00BF20BF"/>
    <w:pPr>
      <w:spacing w:before="240"/>
      <w:jc w:val="both"/>
    </w:pPr>
    <w:rPr>
      <w:rFonts w:ascii="Palatino" w:hAnsi="Palatino"/>
      <w:sz w:val="24"/>
      <w:lang w:eastAsia="en-US"/>
    </w:rPr>
  </w:style>
  <w:style w:type="character" w:styleId="CommentReference">
    <w:name w:val="annotation reference"/>
    <w:semiHidden/>
    <w:unhideWhenUsed/>
    <w:locked/>
    <w:rsid w:val="00BF20BF"/>
    <w:rPr>
      <w:sz w:val="16"/>
      <w:szCs w:val="16"/>
    </w:rPr>
  </w:style>
  <w:style w:type="paragraph" w:customStyle="1" w:styleId="CAR-Indent-Asterisk">
    <w:name w:val="CAR-Indent-Asterisk"/>
    <w:locked/>
    <w:rsid w:val="00BF20BF"/>
    <w:pPr>
      <w:numPr>
        <w:numId w:val="27"/>
      </w:numPr>
      <w:spacing w:before="240"/>
    </w:pPr>
    <w:rPr>
      <w:rFonts w:ascii="Book Antiqua" w:hAnsi="Book Antiqua"/>
      <w:lang w:eastAsia="en-US"/>
    </w:rPr>
  </w:style>
  <w:style w:type="paragraph" w:styleId="CommentText">
    <w:name w:val="annotation text"/>
    <w:basedOn w:val="Normal"/>
    <w:semiHidden/>
    <w:unhideWhenUsed/>
    <w:locked/>
    <w:rsid w:val="00BF20BF"/>
  </w:style>
  <w:style w:type="character" w:customStyle="1" w:styleId="CommentTextChar">
    <w:name w:val="Comment Text Char"/>
    <w:semiHidden/>
    <w:locked/>
    <w:rsid w:val="00BF20BF"/>
    <w:rPr>
      <w:rFonts w:ascii="Book Antiqua" w:hAnsi="Book Antiqua"/>
      <w:color w:val="000000"/>
    </w:rPr>
  </w:style>
  <w:style w:type="paragraph" w:styleId="CommentSubject">
    <w:name w:val="annotation subject"/>
    <w:basedOn w:val="CommentText"/>
    <w:next w:val="CommentText"/>
    <w:semiHidden/>
    <w:unhideWhenUsed/>
    <w:locked/>
    <w:rsid w:val="00BF20BF"/>
    <w:rPr>
      <w:b/>
      <w:bCs/>
    </w:rPr>
  </w:style>
  <w:style w:type="character" w:customStyle="1" w:styleId="CommentSubjectChar">
    <w:name w:val="Comment Subject Char"/>
    <w:semiHidden/>
    <w:locked/>
    <w:rsid w:val="00BF20BF"/>
    <w:rPr>
      <w:rFonts w:ascii="Book Antiqua" w:hAnsi="Book Antiqua"/>
      <w:b/>
      <w:bCs/>
      <w:color w:val="000000"/>
    </w:rPr>
  </w:style>
  <w:style w:type="paragraph" w:customStyle="1" w:styleId="Default">
    <w:name w:val="Default"/>
    <w:locked/>
    <w:rsid w:val="00BC397B"/>
    <w:pPr>
      <w:autoSpaceDE w:val="0"/>
      <w:autoSpaceDN w:val="0"/>
      <w:adjustRightInd w:val="0"/>
    </w:pPr>
    <w:rPr>
      <w:rFonts w:ascii="Book Antiqua" w:hAnsi="Book Antiqua" w:cs="Book Antiqua"/>
      <w:color w:val="000000"/>
      <w:sz w:val="24"/>
      <w:szCs w:val="24"/>
      <w:lang w:val="en-US" w:eastAsia="en-US"/>
    </w:rPr>
  </w:style>
  <w:style w:type="paragraph" w:customStyle="1" w:styleId="CAR-Indent-2">
    <w:name w:val="CAR-Indent-2"/>
    <w:locked/>
    <w:rsid w:val="00BF20BF"/>
    <w:pPr>
      <w:autoSpaceDE w:val="0"/>
      <w:autoSpaceDN w:val="0"/>
      <w:adjustRightInd w:val="0"/>
      <w:spacing w:after="240" w:line="260" w:lineRule="exact"/>
      <w:ind w:left="1134"/>
    </w:pPr>
    <w:rPr>
      <w:rFonts w:ascii="Book Antiqua" w:hAnsi="Book Antiqua"/>
      <w:lang w:val="en-US" w:eastAsia="en-US"/>
    </w:rPr>
  </w:style>
  <w:style w:type="paragraph" w:customStyle="1" w:styleId="CAR-Indent-1">
    <w:name w:val="CAR-Indent-1"/>
    <w:locked/>
    <w:rsid w:val="00BF20BF"/>
    <w:pPr>
      <w:autoSpaceDE w:val="0"/>
      <w:autoSpaceDN w:val="0"/>
      <w:adjustRightInd w:val="0"/>
      <w:spacing w:after="240" w:line="260" w:lineRule="exact"/>
      <w:ind w:left="567"/>
    </w:pPr>
    <w:rPr>
      <w:rFonts w:ascii="Book Antiqua" w:hAnsi="Book Antiqua"/>
      <w:lang w:val="en-US" w:eastAsia="en-US"/>
    </w:rPr>
  </w:style>
  <w:style w:type="paragraph" w:customStyle="1" w:styleId="CAR-Bullet-2">
    <w:name w:val="CAR-Bullet-2"/>
    <w:locked/>
    <w:rsid w:val="00BF20BF"/>
    <w:pPr>
      <w:numPr>
        <w:numId w:val="28"/>
      </w:numPr>
      <w:tabs>
        <w:tab w:val="left" w:pos="1134"/>
      </w:tabs>
      <w:spacing w:after="240" w:line="260" w:lineRule="exact"/>
    </w:pPr>
    <w:rPr>
      <w:rFonts w:ascii="Book Antiqua" w:hAnsi="Book Antiqua"/>
      <w:lang w:eastAsia="en-US"/>
    </w:rPr>
  </w:style>
  <w:style w:type="paragraph" w:customStyle="1" w:styleId="CAR-Indent-Alpha-lower">
    <w:name w:val="CAR-Indent-Alpha-lower"/>
    <w:locked/>
    <w:rsid w:val="00BF20BF"/>
    <w:pPr>
      <w:numPr>
        <w:numId w:val="30"/>
      </w:numPr>
      <w:spacing w:after="240" w:line="260" w:lineRule="exact"/>
      <w:ind w:right="561"/>
    </w:pPr>
    <w:rPr>
      <w:rFonts w:ascii="Book Antiqua" w:hAnsi="Book Antiqua"/>
      <w:lang w:eastAsia="en-US"/>
    </w:rPr>
  </w:style>
  <w:style w:type="paragraph" w:customStyle="1" w:styleId="CAR-Indent-Roman-2">
    <w:name w:val="CAR-Indent-Roman-2"/>
    <w:locked/>
    <w:rsid w:val="00BF20BF"/>
    <w:pPr>
      <w:numPr>
        <w:numId w:val="31"/>
      </w:numPr>
      <w:tabs>
        <w:tab w:val="left" w:pos="1843"/>
      </w:tabs>
      <w:spacing w:after="240" w:line="260" w:lineRule="exact"/>
    </w:pPr>
    <w:rPr>
      <w:rFonts w:ascii="Book Antiqua" w:hAnsi="Book Antiqua"/>
      <w:lang w:eastAsia="en-US"/>
    </w:rPr>
  </w:style>
  <w:style w:type="paragraph" w:styleId="Revision">
    <w:name w:val="Revision"/>
    <w:hidden/>
    <w:uiPriority w:val="99"/>
    <w:semiHidden/>
    <w:rsid w:val="00D402D3"/>
    <w:rPr>
      <w:rFonts w:ascii="Book Antiqua" w:hAnsi="Book Antiqua"/>
      <w:color w:val="000000"/>
    </w:rPr>
  </w:style>
  <w:style w:type="character" w:customStyle="1" w:styleId="Heading1Char">
    <w:name w:val="Heading 1 Char"/>
    <w:basedOn w:val="DefaultParagraphFont"/>
    <w:link w:val="Heading1"/>
    <w:rsid w:val="00DA41E0"/>
    <w:rPr>
      <w:rFonts w:ascii="Arial" w:hAnsi="Arial" w:cs="Arial"/>
      <w:b/>
      <w:bCs/>
      <w:color w:val="000080"/>
      <w:kern w:val="32"/>
      <w:sz w:val="32"/>
      <w:szCs w:val="36"/>
    </w:rPr>
  </w:style>
  <w:style w:type="character" w:customStyle="1" w:styleId="FootnoteTextChar">
    <w:name w:val="Footnote Text Char"/>
    <w:basedOn w:val="DefaultParagraphFont"/>
    <w:link w:val="FootnoteText"/>
    <w:semiHidden/>
    <w:rsid w:val="00DA41E0"/>
    <w:rPr>
      <w:rFonts w:ascii="Book Antiqua" w:hAnsi="Book Antiqu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0BF"/>
    <w:pPr>
      <w:spacing w:after="240" w:line="260" w:lineRule="exact"/>
    </w:pPr>
    <w:rPr>
      <w:rFonts w:ascii="Book Antiqua" w:hAnsi="Book Antiqua"/>
      <w:color w:val="000000"/>
    </w:rPr>
  </w:style>
  <w:style w:type="paragraph" w:styleId="Heading1">
    <w:name w:val="heading 1"/>
    <w:basedOn w:val="HeadingBase"/>
    <w:next w:val="Normal"/>
    <w:link w:val="Heading1Char"/>
    <w:qFormat/>
    <w:rsid w:val="00BF20BF"/>
    <w:pPr>
      <w:spacing w:before="240" w:after="240"/>
      <w:outlineLvl w:val="0"/>
    </w:pPr>
    <w:rPr>
      <w:rFonts w:cs="Arial"/>
      <w:b/>
      <w:bCs/>
      <w:kern w:val="32"/>
      <w:sz w:val="32"/>
      <w:szCs w:val="36"/>
    </w:rPr>
  </w:style>
  <w:style w:type="paragraph" w:styleId="Heading2">
    <w:name w:val="heading 2"/>
    <w:basedOn w:val="HeadingBase"/>
    <w:next w:val="Normal"/>
    <w:qFormat/>
    <w:rsid w:val="00BF20BF"/>
    <w:pPr>
      <w:spacing w:before="240" w:after="120"/>
      <w:outlineLvl w:val="1"/>
    </w:pPr>
    <w:rPr>
      <w:rFonts w:cs="Arial"/>
      <w:b/>
      <w:bCs/>
      <w:iCs/>
      <w:sz w:val="28"/>
      <w:szCs w:val="28"/>
    </w:rPr>
  </w:style>
  <w:style w:type="paragraph" w:styleId="Heading3">
    <w:name w:val="heading 3"/>
    <w:basedOn w:val="HeadingBase"/>
    <w:next w:val="Normal"/>
    <w:qFormat/>
    <w:rsid w:val="00BF20BF"/>
    <w:pPr>
      <w:spacing w:before="240" w:after="120"/>
      <w:outlineLvl w:val="2"/>
    </w:pPr>
    <w:rPr>
      <w:rFonts w:cs="Arial"/>
      <w:b/>
      <w:bCs/>
      <w:sz w:val="26"/>
      <w:szCs w:val="26"/>
    </w:rPr>
  </w:style>
  <w:style w:type="paragraph" w:styleId="Heading4">
    <w:name w:val="heading 4"/>
    <w:basedOn w:val="HeadingBase"/>
    <w:next w:val="Normal"/>
    <w:qFormat/>
    <w:rsid w:val="00BF20BF"/>
    <w:pPr>
      <w:spacing w:before="120" w:after="240"/>
      <w:outlineLvl w:val="3"/>
    </w:pPr>
    <w:rPr>
      <w:b/>
      <w:bCs/>
      <w:sz w:val="22"/>
      <w:szCs w:val="22"/>
    </w:rPr>
  </w:style>
  <w:style w:type="paragraph" w:styleId="Heading5">
    <w:name w:val="heading 5"/>
    <w:basedOn w:val="HeadingBase"/>
    <w:next w:val="Normal"/>
    <w:qFormat/>
    <w:rsid w:val="00BF20BF"/>
    <w:pPr>
      <w:spacing w:before="40" w:after="40"/>
      <w:outlineLvl w:val="4"/>
    </w:pPr>
    <w:rPr>
      <w:b/>
      <w:bCs/>
      <w:iCs/>
    </w:rPr>
  </w:style>
  <w:style w:type="paragraph" w:styleId="Heading6">
    <w:name w:val="heading 6"/>
    <w:basedOn w:val="HeadingBase"/>
    <w:next w:val="Normal"/>
    <w:qFormat/>
    <w:rsid w:val="00BF20BF"/>
    <w:pPr>
      <w:spacing w:before="360" w:after="360"/>
      <w:jc w:val="center"/>
      <w:outlineLvl w:val="5"/>
    </w:pPr>
    <w:rPr>
      <w:b/>
      <w:bCs/>
      <w:kern w:val="32"/>
      <w:sz w:val="28"/>
      <w:szCs w:val="22"/>
    </w:rPr>
  </w:style>
  <w:style w:type="paragraph" w:styleId="Heading7">
    <w:name w:val="heading 7"/>
    <w:basedOn w:val="HeadingBase"/>
    <w:next w:val="Normal"/>
    <w:qFormat/>
    <w:rsid w:val="00BF20BF"/>
    <w:pPr>
      <w:spacing w:after="120"/>
      <w:outlineLvl w:val="6"/>
    </w:pPr>
    <w:rPr>
      <w:szCs w:val="24"/>
    </w:rPr>
  </w:style>
  <w:style w:type="paragraph" w:styleId="Heading8">
    <w:name w:val="heading 8"/>
    <w:basedOn w:val="HeadingBase"/>
    <w:next w:val="Normal"/>
    <w:qFormat/>
    <w:rsid w:val="00BF20BF"/>
    <w:pPr>
      <w:spacing w:after="120"/>
      <w:outlineLvl w:val="7"/>
    </w:pPr>
    <w:rPr>
      <w:iCs/>
      <w:szCs w:val="24"/>
    </w:rPr>
  </w:style>
  <w:style w:type="paragraph" w:styleId="Heading9">
    <w:name w:val="heading 9"/>
    <w:basedOn w:val="HeadingBase"/>
    <w:next w:val="Normal"/>
    <w:qFormat/>
    <w:rsid w:val="00BF20B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BF20BF"/>
    <w:pPr>
      <w:keepNext/>
    </w:pPr>
    <w:rPr>
      <w:rFonts w:ascii="Arial" w:hAnsi="Arial"/>
      <w:color w:val="000080"/>
    </w:rPr>
  </w:style>
  <w:style w:type="paragraph" w:styleId="NormalIndent">
    <w:name w:val="Normal Indent"/>
    <w:basedOn w:val="Normal"/>
    <w:semiHidden/>
    <w:rsid w:val="00BF20BF"/>
    <w:pPr>
      <w:ind w:left="567"/>
    </w:pPr>
  </w:style>
  <w:style w:type="paragraph" w:styleId="Header">
    <w:name w:val="header"/>
    <w:basedOn w:val="HeadingBase"/>
    <w:semiHidden/>
    <w:rsid w:val="00BF20BF"/>
    <w:rPr>
      <w:sz w:val="18"/>
    </w:rPr>
  </w:style>
  <w:style w:type="character" w:styleId="PageNumber">
    <w:name w:val="page number"/>
    <w:basedOn w:val="DefaultParagraphFont"/>
    <w:semiHidden/>
    <w:rsid w:val="00BF20BF"/>
  </w:style>
  <w:style w:type="paragraph" w:styleId="Footer">
    <w:name w:val="footer"/>
    <w:basedOn w:val="HeadingBase"/>
    <w:semiHidden/>
    <w:rsid w:val="00BF20BF"/>
    <w:rPr>
      <w:sz w:val="18"/>
    </w:rPr>
  </w:style>
  <w:style w:type="paragraph" w:customStyle="1" w:styleId="Document">
    <w:name w:val="Document"/>
    <w:basedOn w:val="Normal"/>
    <w:rsid w:val="00BF20BF"/>
    <w:pPr>
      <w:tabs>
        <w:tab w:val="num" w:pos="0"/>
      </w:tabs>
      <w:spacing w:after="120" w:line="360" w:lineRule="auto"/>
      <w:ind w:left="567" w:hanging="567"/>
      <w:jc w:val="both"/>
    </w:pPr>
    <w:rPr>
      <w:rFonts w:ascii="Arial" w:hAnsi="Arial"/>
      <w:sz w:val="22"/>
      <w:szCs w:val="22"/>
    </w:rPr>
  </w:style>
  <w:style w:type="paragraph" w:styleId="Title">
    <w:name w:val="Title"/>
    <w:basedOn w:val="Normal"/>
    <w:qFormat/>
    <w:rsid w:val="00BF20BF"/>
    <w:pPr>
      <w:spacing w:line="360" w:lineRule="auto"/>
      <w:jc w:val="center"/>
    </w:pPr>
    <w:rPr>
      <w:b/>
      <w:szCs w:val="22"/>
      <w:u w:val="single"/>
    </w:rPr>
  </w:style>
  <w:style w:type="paragraph" w:customStyle="1" w:styleId="Outline-1">
    <w:name w:val="Outline-1"/>
    <w:rsid w:val="00BF20BF"/>
    <w:pPr>
      <w:numPr>
        <w:numId w:val="1"/>
      </w:numPr>
      <w:tabs>
        <w:tab w:val="left" w:pos="567"/>
      </w:tabs>
      <w:spacing w:before="240"/>
      <w:jc w:val="both"/>
    </w:pPr>
    <w:rPr>
      <w:rFonts w:ascii="Palatino" w:hAnsi="Palatino"/>
      <w:sz w:val="24"/>
      <w:lang w:eastAsia="en-US"/>
    </w:rPr>
  </w:style>
  <w:style w:type="paragraph" w:customStyle="1" w:styleId="Outline-6">
    <w:name w:val="Outline-6"/>
    <w:rsid w:val="00BF20BF"/>
    <w:pPr>
      <w:numPr>
        <w:numId w:val="2"/>
      </w:numPr>
      <w:spacing w:before="120"/>
      <w:jc w:val="both"/>
    </w:pPr>
    <w:rPr>
      <w:rFonts w:ascii="Palatino" w:hAnsi="Palatino"/>
      <w:sz w:val="24"/>
      <w:lang w:eastAsia="en-US"/>
    </w:rPr>
  </w:style>
  <w:style w:type="paragraph" w:customStyle="1" w:styleId="SingleParagraph">
    <w:name w:val="Single Paragraph"/>
    <w:basedOn w:val="Normal"/>
    <w:rsid w:val="00BF20BF"/>
    <w:pPr>
      <w:spacing w:after="0"/>
    </w:pPr>
  </w:style>
  <w:style w:type="character" w:styleId="Hyperlink">
    <w:name w:val="Hyperlink"/>
    <w:semiHidden/>
    <w:rsid w:val="00BF20BF"/>
    <w:rPr>
      <w:color w:val="auto"/>
      <w:u w:val="none"/>
    </w:rPr>
  </w:style>
  <w:style w:type="character" w:styleId="FootnoteReference">
    <w:name w:val="footnote reference"/>
    <w:semiHidden/>
    <w:rsid w:val="00BF20BF"/>
    <w:rPr>
      <w:vertAlign w:val="superscript"/>
    </w:rPr>
  </w:style>
  <w:style w:type="character" w:styleId="FollowedHyperlink">
    <w:name w:val="FollowedHyperlink"/>
    <w:semiHidden/>
    <w:rsid w:val="00BF20BF"/>
    <w:rPr>
      <w:color w:val="auto"/>
      <w:u w:val="none"/>
    </w:rPr>
  </w:style>
  <w:style w:type="paragraph" w:styleId="FootnoteText">
    <w:name w:val="footnote text"/>
    <w:basedOn w:val="Normal"/>
    <w:link w:val="FootnoteTextChar"/>
    <w:semiHidden/>
    <w:rsid w:val="00BF20BF"/>
    <w:pPr>
      <w:numPr>
        <w:numId w:val="3"/>
      </w:numPr>
      <w:tabs>
        <w:tab w:val="clear" w:pos="283"/>
        <w:tab w:val="left" w:pos="284"/>
      </w:tabs>
      <w:spacing w:after="0" w:line="240" w:lineRule="auto"/>
      <w:ind w:left="284" w:hanging="284"/>
    </w:pPr>
    <w:rPr>
      <w:sz w:val="18"/>
    </w:rPr>
  </w:style>
  <w:style w:type="paragraph" w:customStyle="1" w:styleId="Bullet">
    <w:name w:val="Bullet"/>
    <w:basedOn w:val="Normal"/>
    <w:rsid w:val="00BF20BF"/>
    <w:pPr>
      <w:numPr>
        <w:ilvl w:val="1"/>
        <w:numId w:val="3"/>
      </w:numPr>
      <w:tabs>
        <w:tab w:val="clear" w:pos="567"/>
        <w:tab w:val="num" w:pos="283"/>
      </w:tabs>
      <w:ind w:left="283" w:hanging="283"/>
    </w:pPr>
  </w:style>
  <w:style w:type="paragraph" w:customStyle="1" w:styleId="Dash">
    <w:name w:val="Dash"/>
    <w:basedOn w:val="Normal"/>
    <w:rsid w:val="00BF20BF"/>
    <w:pPr>
      <w:numPr>
        <w:ilvl w:val="2"/>
        <w:numId w:val="3"/>
      </w:numPr>
      <w:tabs>
        <w:tab w:val="clear" w:pos="850"/>
        <w:tab w:val="num" w:pos="567"/>
      </w:tabs>
      <w:ind w:left="567" w:hanging="284"/>
    </w:pPr>
  </w:style>
  <w:style w:type="paragraph" w:customStyle="1" w:styleId="DoubleDot">
    <w:name w:val="Double Dot"/>
    <w:basedOn w:val="Normal"/>
    <w:rsid w:val="00BF20BF"/>
    <w:pPr>
      <w:numPr>
        <w:numId w:val="4"/>
      </w:numPr>
      <w:tabs>
        <w:tab w:val="clear" w:pos="567"/>
        <w:tab w:val="num" w:pos="850"/>
      </w:tabs>
      <w:ind w:left="850" w:hanging="283"/>
    </w:pPr>
  </w:style>
  <w:style w:type="paragraph" w:customStyle="1" w:styleId="OutlineNumbered1">
    <w:name w:val="Outline Numbered 1"/>
    <w:basedOn w:val="Normal"/>
    <w:rsid w:val="00BF20BF"/>
    <w:pPr>
      <w:numPr>
        <w:ilvl w:val="1"/>
        <w:numId w:val="4"/>
      </w:numPr>
      <w:tabs>
        <w:tab w:val="clear" w:pos="1134"/>
        <w:tab w:val="num" w:pos="567"/>
      </w:tabs>
      <w:ind w:left="567"/>
    </w:pPr>
  </w:style>
  <w:style w:type="paragraph" w:customStyle="1" w:styleId="OutlineNumbered2">
    <w:name w:val="Outline Numbered 2"/>
    <w:basedOn w:val="Normal"/>
    <w:rsid w:val="00BF20BF"/>
    <w:pPr>
      <w:numPr>
        <w:ilvl w:val="2"/>
        <w:numId w:val="4"/>
      </w:numPr>
      <w:tabs>
        <w:tab w:val="clear" w:pos="1701"/>
        <w:tab w:val="num" w:pos="1134"/>
      </w:tabs>
      <w:ind w:left="1134"/>
    </w:pPr>
  </w:style>
  <w:style w:type="paragraph" w:customStyle="1" w:styleId="OutlineNumbered3">
    <w:name w:val="Outline Numbered 3"/>
    <w:basedOn w:val="Normal"/>
    <w:rsid w:val="00BF20BF"/>
    <w:pPr>
      <w:numPr>
        <w:numId w:val="5"/>
      </w:numPr>
      <w:jc w:val="both"/>
    </w:pPr>
  </w:style>
  <w:style w:type="paragraph" w:customStyle="1" w:styleId="AlphaParagraph">
    <w:name w:val="Alpha Paragraph"/>
    <w:basedOn w:val="Normal"/>
    <w:rsid w:val="00BF20BF"/>
  </w:style>
  <w:style w:type="paragraph" w:customStyle="1" w:styleId="AppendixHeading">
    <w:name w:val="Appendix Heading"/>
    <w:basedOn w:val="HeadingBase"/>
    <w:next w:val="Normal"/>
    <w:rsid w:val="00BF20BF"/>
    <w:pPr>
      <w:spacing w:before="720" w:after="360"/>
      <w:outlineLvl w:val="0"/>
    </w:pPr>
    <w:rPr>
      <w:rFonts w:ascii="Arial Bold" w:hAnsi="Arial Bold"/>
      <w:b/>
      <w:smallCaps/>
      <w:sz w:val="36"/>
      <w:szCs w:val="36"/>
    </w:rPr>
  </w:style>
  <w:style w:type="character" w:customStyle="1" w:styleId="Bold">
    <w:name w:val="Bold"/>
    <w:rsid w:val="00BF20BF"/>
    <w:rPr>
      <w:b/>
    </w:rPr>
  </w:style>
  <w:style w:type="paragraph" w:customStyle="1" w:styleId="BoxHeading">
    <w:name w:val="Box Heading"/>
    <w:basedOn w:val="HeadingBase"/>
    <w:next w:val="BoxText"/>
    <w:rsid w:val="00BF20BF"/>
    <w:pPr>
      <w:spacing w:before="120" w:after="120"/>
    </w:pPr>
    <w:rPr>
      <w:b/>
      <w:sz w:val="22"/>
    </w:rPr>
  </w:style>
  <w:style w:type="paragraph" w:customStyle="1" w:styleId="BoxText">
    <w:name w:val="Box Text"/>
    <w:basedOn w:val="BoxTextBase"/>
    <w:rsid w:val="00BF20BF"/>
  </w:style>
  <w:style w:type="paragraph" w:customStyle="1" w:styleId="BoxTextBase">
    <w:name w:val="Box Text Base"/>
    <w:basedOn w:val="Normal"/>
    <w:rsid w:val="00BF20BF"/>
    <w:pPr>
      <w:numPr>
        <w:numId w:val="6"/>
      </w:numPr>
      <w:tabs>
        <w:tab w:val="clear" w:pos="283"/>
      </w:tabs>
      <w:spacing w:before="120" w:after="120"/>
      <w:ind w:left="0" w:firstLine="0"/>
    </w:pPr>
  </w:style>
  <w:style w:type="paragraph" w:customStyle="1" w:styleId="ChartandTableFootnoteAlpha">
    <w:name w:val="Chart and Table Footnote Alpha"/>
    <w:rsid w:val="00BF20BF"/>
    <w:pPr>
      <w:tabs>
        <w:tab w:val="num" w:pos="851"/>
      </w:tabs>
      <w:ind w:left="284" w:hanging="284"/>
    </w:pPr>
    <w:rPr>
      <w:rFonts w:ascii="Arial" w:hAnsi="Arial"/>
      <w:color w:val="000000"/>
      <w:sz w:val="16"/>
      <w:szCs w:val="16"/>
    </w:rPr>
  </w:style>
  <w:style w:type="paragraph" w:customStyle="1" w:styleId="CAR-Logo">
    <w:name w:val="CAR-Logo"/>
    <w:basedOn w:val="Normal"/>
    <w:next w:val="Normal"/>
    <w:rsid w:val="00BF20BF"/>
    <w:pPr>
      <w:keepNext/>
      <w:spacing w:after="0" w:line="240" w:lineRule="auto"/>
      <w:jc w:val="center"/>
    </w:pPr>
    <w:rPr>
      <w:rFonts w:ascii="Arial" w:hAnsi="Arial"/>
      <w:color w:val="000080"/>
    </w:rPr>
  </w:style>
  <w:style w:type="paragraph" w:customStyle="1" w:styleId="ChartMainHeading">
    <w:name w:val="Chart Main Heading"/>
    <w:basedOn w:val="HeadingBase"/>
    <w:next w:val="ChartGraphic"/>
    <w:rsid w:val="00BF20BF"/>
    <w:pPr>
      <w:spacing w:after="20"/>
      <w:jc w:val="center"/>
    </w:pPr>
    <w:rPr>
      <w:b/>
      <w:sz w:val="22"/>
    </w:rPr>
  </w:style>
  <w:style w:type="paragraph" w:customStyle="1" w:styleId="ChartGraphic">
    <w:name w:val="Chart Graphic"/>
    <w:basedOn w:val="HeadingBase"/>
    <w:next w:val="Normal"/>
    <w:rsid w:val="00BF20BF"/>
    <w:pPr>
      <w:jc w:val="center"/>
    </w:pPr>
  </w:style>
  <w:style w:type="paragraph" w:customStyle="1" w:styleId="ChartorTableNote">
    <w:name w:val="Chart or Table Note"/>
    <w:next w:val="Normal"/>
    <w:rsid w:val="00BF20BF"/>
    <w:pPr>
      <w:tabs>
        <w:tab w:val="left" w:pos="240"/>
      </w:tabs>
      <w:ind w:left="240" w:hanging="240"/>
    </w:pPr>
    <w:rPr>
      <w:rFonts w:ascii="Arial" w:hAnsi="Arial"/>
      <w:color w:val="000000"/>
      <w:sz w:val="16"/>
    </w:rPr>
  </w:style>
  <w:style w:type="paragraph" w:customStyle="1" w:styleId="ChartSecondHeading">
    <w:name w:val="Chart Second Heading"/>
    <w:basedOn w:val="HeadingBase"/>
    <w:next w:val="ChartGraphic"/>
    <w:rsid w:val="00BF20BF"/>
    <w:pPr>
      <w:spacing w:after="20"/>
      <w:jc w:val="center"/>
    </w:pPr>
  </w:style>
  <w:style w:type="paragraph" w:customStyle="1" w:styleId="Classification">
    <w:name w:val="Classification"/>
    <w:basedOn w:val="HeadingBase"/>
    <w:next w:val="Footer"/>
    <w:rsid w:val="00BF20BF"/>
    <w:pPr>
      <w:spacing w:after="120"/>
      <w:jc w:val="center"/>
    </w:pPr>
    <w:rPr>
      <w:b/>
      <w:smallCaps/>
    </w:rPr>
  </w:style>
  <w:style w:type="paragraph" w:customStyle="1" w:styleId="ContentsHeading">
    <w:name w:val="Contents Heading"/>
    <w:basedOn w:val="HeadingBase"/>
    <w:next w:val="Normal"/>
    <w:rsid w:val="00BF20BF"/>
    <w:pPr>
      <w:spacing w:after="360"/>
    </w:pPr>
    <w:rPr>
      <w:smallCaps/>
      <w:sz w:val="36"/>
      <w:szCs w:val="36"/>
    </w:rPr>
  </w:style>
  <w:style w:type="paragraph" w:customStyle="1" w:styleId="CAR-CoverMain">
    <w:name w:val="CAR-CoverMain"/>
    <w:basedOn w:val="Normal"/>
    <w:next w:val="Normal"/>
    <w:rsid w:val="00BF20BF"/>
    <w:pPr>
      <w:keepNext/>
      <w:spacing w:before="2000" w:after="480" w:line="240" w:lineRule="auto"/>
      <w:jc w:val="center"/>
    </w:pPr>
    <w:rPr>
      <w:rFonts w:ascii="Arial" w:hAnsi="Arial"/>
      <w:b/>
      <w:color w:val="000080"/>
      <w:sz w:val="48"/>
    </w:rPr>
  </w:style>
  <w:style w:type="paragraph" w:customStyle="1" w:styleId="CAR-CoverSub">
    <w:name w:val="CAR-CoverSub"/>
    <w:basedOn w:val="Normal"/>
    <w:rsid w:val="00BF20BF"/>
    <w:pPr>
      <w:keepNext/>
      <w:spacing w:before="1440" w:after="360" w:line="240" w:lineRule="auto"/>
      <w:jc w:val="center"/>
    </w:pPr>
    <w:rPr>
      <w:rFonts w:ascii="Arial" w:hAnsi="Arial"/>
      <w:color w:val="000080"/>
      <w:sz w:val="36"/>
    </w:rPr>
  </w:style>
  <w:style w:type="paragraph" w:customStyle="1" w:styleId="FooterCentered">
    <w:name w:val="Footer Centered"/>
    <w:basedOn w:val="Footer"/>
    <w:rsid w:val="00BF20BF"/>
    <w:pPr>
      <w:jc w:val="center"/>
    </w:pPr>
  </w:style>
  <w:style w:type="paragraph" w:customStyle="1" w:styleId="FooterEven">
    <w:name w:val="Footer Even"/>
    <w:basedOn w:val="Footer"/>
    <w:rsid w:val="00BF20BF"/>
  </w:style>
  <w:style w:type="paragraph" w:customStyle="1" w:styleId="FooterOdd">
    <w:name w:val="Footer Odd"/>
    <w:basedOn w:val="Footer"/>
    <w:rsid w:val="00BF20BF"/>
    <w:pPr>
      <w:jc w:val="right"/>
    </w:pPr>
  </w:style>
  <w:style w:type="character" w:customStyle="1" w:styleId="FramedFooter">
    <w:name w:val="Framed Footer"/>
    <w:rsid w:val="00BF20BF"/>
    <w:rPr>
      <w:rFonts w:ascii="Arial" w:hAnsi="Arial"/>
      <w:sz w:val="18"/>
    </w:rPr>
  </w:style>
  <w:style w:type="character" w:customStyle="1" w:styleId="FramedHeader">
    <w:name w:val="Framed Header"/>
    <w:rsid w:val="00BF20BF"/>
    <w:rPr>
      <w:rFonts w:ascii="Arial" w:hAnsi="Arial"/>
      <w:dstrike w:val="0"/>
      <w:color w:val="auto"/>
      <w:sz w:val="18"/>
      <w:vertAlign w:val="baseline"/>
    </w:rPr>
  </w:style>
  <w:style w:type="paragraph" w:customStyle="1" w:styleId="HeaderEven">
    <w:name w:val="Header Even"/>
    <w:basedOn w:val="Header"/>
    <w:rsid w:val="00BF20BF"/>
  </w:style>
  <w:style w:type="paragraph" w:customStyle="1" w:styleId="HeaderOdd">
    <w:name w:val="Header Odd"/>
    <w:basedOn w:val="Header"/>
    <w:rsid w:val="00BF20BF"/>
    <w:pPr>
      <w:jc w:val="right"/>
    </w:pPr>
  </w:style>
  <w:style w:type="paragraph" w:customStyle="1" w:styleId="RecommendationHeading">
    <w:name w:val="Recommendation Heading"/>
    <w:basedOn w:val="HeadingBase"/>
    <w:next w:val="RecommendationText"/>
    <w:rsid w:val="00BF20BF"/>
    <w:pPr>
      <w:spacing w:after="240"/>
    </w:pPr>
    <w:rPr>
      <w:b/>
      <w:sz w:val="22"/>
    </w:rPr>
  </w:style>
  <w:style w:type="paragraph" w:customStyle="1" w:styleId="RecommendationText">
    <w:name w:val="Recommendation Text"/>
    <w:basedOn w:val="RecommendationBaseText"/>
    <w:rsid w:val="00BF20BF"/>
    <w:rPr>
      <w:i/>
    </w:rPr>
  </w:style>
  <w:style w:type="paragraph" w:customStyle="1" w:styleId="RecommendationBaseText">
    <w:name w:val="Recommendation Base Text"/>
    <w:basedOn w:val="Normal"/>
    <w:rsid w:val="00BF20BF"/>
  </w:style>
  <w:style w:type="paragraph" w:customStyle="1" w:styleId="TableTextBase">
    <w:name w:val="Table Text Base"/>
    <w:rsid w:val="00BF20BF"/>
    <w:pPr>
      <w:spacing w:before="40" w:after="40"/>
    </w:pPr>
    <w:rPr>
      <w:rFonts w:ascii="Arial" w:hAnsi="Arial"/>
      <w:color w:val="000000"/>
      <w:sz w:val="16"/>
    </w:rPr>
  </w:style>
  <w:style w:type="paragraph" w:customStyle="1" w:styleId="TableColumnHeadingCentred">
    <w:name w:val="Table Column Heading Centred"/>
    <w:basedOn w:val="TableColumnHeadingBase"/>
    <w:rsid w:val="00BF20BF"/>
    <w:pPr>
      <w:jc w:val="center"/>
    </w:pPr>
  </w:style>
  <w:style w:type="paragraph" w:customStyle="1" w:styleId="TableColumnHeadingBase">
    <w:name w:val="Table Column Heading Base"/>
    <w:basedOn w:val="Normal"/>
    <w:rsid w:val="00BF20BF"/>
    <w:pPr>
      <w:spacing w:before="40" w:after="40" w:line="240" w:lineRule="auto"/>
    </w:pPr>
    <w:rPr>
      <w:rFonts w:ascii="Arial" w:hAnsi="Arial"/>
      <w:b/>
      <w:color w:val="000080"/>
      <w:sz w:val="16"/>
    </w:rPr>
  </w:style>
  <w:style w:type="paragraph" w:customStyle="1" w:styleId="TableColumnHeadingLeft">
    <w:name w:val="Table Column Heading Left"/>
    <w:basedOn w:val="TableColumnHeadingBase"/>
    <w:rsid w:val="00BF20BF"/>
  </w:style>
  <w:style w:type="paragraph" w:customStyle="1" w:styleId="TableColumnHeadingRight">
    <w:name w:val="Table Column Heading Right"/>
    <w:basedOn w:val="TableColumnHeadingBase"/>
    <w:rsid w:val="00BF20BF"/>
    <w:pPr>
      <w:jc w:val="right"/>
    </w:pPr>
  </w:style>
  <w:style w:type="paragraph" w:customStyle="1" w:styleId="TableGraphic">
    <w:name w:val="Table Graphic"/>
    <w:basedOn w:val="HeadingBase"/>
    <w:next w:val="Normal"/>
    <w:rsid w:val="00BF20BF"/>
    <w:pPr>
      <w:spacing w:after="20"/>
      <w:ind w:right="-113"/>
    </w:pPr>
  </w:style>
  <w:style w:type="paragraph" w:customStyle="1" w:styleId="TableMainHeading">
    <w:name w:val="Table Main Heading"/>
    <w:basedOn w:val="HeadingBase"/>
    <w:next w:val="TableGraphic"/>
    <w:rsid w:val="00BF20BF"/>
    <w:pPr>
      <w:spacing w:after="20"/>
    </w:pPr>
    <w:rPr>
      <w:b/>
      <w:sz w:val="22"/>
    </w:rPr>
  </w:style>
  <w:style w:type="paragraph" w:customStyle="1" w:styleId="TableMainHeadingContd">
    <w:name w:val="Table Main Heading Contd"/>
    <w:basedOn w:val="HeadingBase"/>
    <w:next w:val="TableGraphic"/>
    <w:rsid w:val="00BF20BF"/>
    <w:pPr>
      <w:pageBreakBefore/>
      <w:spacing w:after="20"/>
    </w:pPr>
    <w:rPr>
      <w:b/>
      <w:sz w:val="22"/>
    </w:rPr>
  </w:style>
  <w:style w:type="paragraph" w:customStyle="1" w:styleId="TableSecondHeading">
    <w:name w:val="Table Second Heading"/>
    <w:basedOn w:val="HeadingBase"/>
    <w:next w:val="TableGraphic"/>
    <w:rsid w:val="00BF20BF"/>
    <w:pPr>
      <w:spacing w:after="20"/>
    </w:pPr>
  </w:style>
  <w:style w:type="paragraph" w:customStyle="1" w:styleId="TableTextCentered">
    <w:name w:val="Table Text Centered"/>
    <w:basedOn w:val="TableTextBase"/>
    <w:rsid w:val="00BF20BF"/>
    <w:pPr>
      <w:jc w:val="center"/>
    </w:pPr>
  </w:style>
  <w:style w:type="paragraph" w:customStyle="1" w:styleId="TableTextIndented">
    <w:name w:val="Table Text Indented"/>
    <w:basedOn w:val="TableTextBase"/>
    <w:rsid w:val="00BF20BF"/>
    <w:pPr>
      <w:ind w:left="284"/>
    </w:pPr>
  </w:style>
  <w:style w:type="paragraph" w:customStyle="1" w:styleId="TableTextLeft">
    <w:name w:val="Table Text Left"/>
    <w:basedOn w:val="TableTextBase"/>
    <w:rsid w:val="00BF20BF"/>
  </w:style>
  <w:style w:type="paragraph" w:customStyle="1" w:styleId="TableTextRight">
    <w:name w:val="Table Text Right"/>
    <w:basedOn w:val="TableTextBase"/>
    <w:rsid w:val="00BF20BF"/>
    <w:pPr>
      <w:jc w:val="right"/>
    </w:pPr>
  </w:style>
  <w:style w:type="paragraph" w:styleId="TOC1">
    <w:name w:val="toc 1"/>
    <w:basedOn w:val="HeadingBase"/>
    <w:next w:val="Normal"/>
    <w:semiHidden/>
    <w:rsid w:val="00BF20BF"/>
    <w:pPr>
      <w:tabs>
        <w:tab w:val="right" w:leader="dot" w:pos="7700"/>
      </w:tabs>
      <w:spacing w:before="180"/>
      <w:ind w:right="851"/>
    </w:pPr>
    <w:rPr>
      <w:b/>
      <w:smallCaps/>
      <w:sz w:val="22"/>
      <w:szCs w:val="22"/>
    </w:rPr>
  </w:style>
  <w:style w:type="paragraph" w:styleId="TOC2">
    <w:name w:val="toc 2"/>
    <w:basedOn w:val="HeadingBase"/>
    <w:next w:val="Normal"/>
    <w:semiHidden/>
    <w:rsid w:val="00BF20BF"/>
    <w:pPr>
      <w:tabs>
        <w:tab w:val="right" w:leader="dot" w:pos="7700"/>
      </w:tabs>
      <w:spacing w:before="40" w:after="20"/>
      <w:ind w:right="851"/>
    </w:pPr>
  </w:style>
  <w:style w:type="paragraph" w:styleId="TOC3">
    <w:name w:val="toc 3"/>
    <w:basedOn w:val="Normal"/>
    <w:next w:val="Normal"/>
    <w:semiHidden/>
    <w:rsid w:val="00BF20BF"/>
    <w:pPr>
      <w:tabs>
        <w:tab w:val="right" w:leader="dot" w:pos="7700"/>
      </w:tabs>
      <w:spacing w:before="20" w:after="0" w:line="240" w:lineRule="auto"/>
      <w:ind w:left="284" w:right="851"/>
    </w:pPr>
  </w:style>
  <w:style w:type="paragraph" w:styleId="TOC4">
    <w:name w:val="toc 4"/>
    <w:basedOn w:val="Normal"/>
    <w:next w:val="Normal"/>
    <w:semiHidden/>
    <w:rsid w:val="00BF20BF"/>
    <w:pPr>
      <w:numPr>
        <w:numId w:val="8"/>
      </w:numPr>
      <w:tabs>
        <w:tab w:val="right" w:leader="dot" w:pos="7700"/>
      </w:tabs>
      <w:spacing w:after="0" w:line="240" w:lineRule="auto"/>
      <w:ind w:right="851"/>
    </w:pPr>
  </w:style>
  <w:style w:type="character" w:customStyle="1" w:styleId="Italic">
    <w:name w:val="Italic"/>
    <w:rsid w:val="00BF20BF"/>
    <w:rPr>
      <w:i/>
    </w:rPr>
  </w:style>
  <w:style w:type="paragraph" w:customStyle="1" w:styleId="OneLevelNumberedParagraph">
    <w:name w:val="One Level Numbered Paragraph"/>
    <w:basedOn w:val="Normal"/>
    <w:rsid w:val="00BF20BF"/>
    <w:pPr>
      <w:numPr>
        <w:numId w:val="7"/>
      </w:numPr>
      <w:tabs>
        <w:tab w:val="clear" w:pos="283"/>
        <w:tab w:val="num" w:pos="567"/>
      </w:tabs>
      <w:ind w:left="567" w:hanging="567"/>
    </w:pPr>
  </w:style>
  <w:style w:type="paragraph" w:customStyle="1" w:styleId="BoxBullet">
    <w:name w:val="Box Bullet"/>
    <w:basedOn w:val="BoxTextBase"/>
    <w:rsid w:val="00BF20BF"/>
    <w:pPr>
      <w:numPr>
        <w:ilvl w:val="1"/>
        <w:numId w:val="7"/>
      </w:numPr>
      <w:tabs>
        <w:tab w:val="clear" w:pos="567"/>
        <w:tab w:val="num" w:pos="283"/>
      </w:tabs>
      <w:ind w:left="283" w:hanging="283"/>
    </w:pPr>
  </w:style>
  <w:style w:type="paragraph" w:customStyle="1" w:styleId="BoxDash">
    <w:name w:val="Box Dash"/>
    <w:basedOn w:val="Normal"/>
    <w:rsid w:val="00BF20BF"/>
    <w:pPr>
      <w:numPr>
        <w:ilvl w:val="2"/>
        <w:numId w:val="7"/>
      </w:numPr>
      <w:tabs>
        <w:tab w:val="clear" w:pos="850"/>
        <w:tab w:val="num" w:pos="567"/>
      </w:tabs>
      <w:ind w:left="567" w:hanging="284"/>
    </w:pPr>
  </w:style>
  <w:style w:type="paragraph" w:customStyle="1" w:styleId="BoxDoubleDot">
    <w:name w:val="Box Double Dot"/>
    <w:basedOn w:val="BoxTextBase"/>
    <w:rsid w:val="00BF20BF"/>
    <w:pPr>
      <w:numPr>
        <w:numId w:val="9"/>
      </w:numPr>
      <w:tabs>
        <w:tab w:val="clear" w:pos="283"/>
        <w:tab w:val="num" w:pos="850"/>
      </w:tabs>
      <w:ind w:left="850"/>
    </w:pPr>
  </w:style>
  <w:style w:type="paragraph" w:customStyle="1" w:styleId="RecommendationBullet">
    <w:name w:val="Recommendation Bullet"/>
    <w:basedOn w:val="RecommendationBaseText"/>
    <w:rsid w:val="00BF20BF"/>
    <w:pPr>
      <w:numPr>
        <w:ilvl w:val="1"/>
        <w:numId w:val="9"/>
      </w:numPr>
      <w:tabs>
        <w:tab w:val="clear" w:pos="567"/>
        <w:tab w:val="num" w:pos="283"/>
      </w:tabs>
      <w:ind w:left="283" w:hanging="283"/>
    </w:pPr>
  </w:style>
  <w:style w:type="paragraph" w:customStyle="1" w:styleId="RecommendationDash">
    <w:name w:val="Recommendation Dash"/>
    <w:basedOn w:val="RecommendationBaseText"/>
    <w:rsid w:val="00BF20BF"/>
    <w:pPr>
      <w:numPr>
        <w:ilvl w:val="2"/>
        <w:numId w:val="9"/>
      </w:numPr>
      <w:tabs>
        <w:tab w:val="clear" w:pos="850"/>
        <w:tab w:val="num" w:pos="567"/>
      </w:tabs>
      <w:ind w:left="567" w:hanging="284"/>
    </w:pPr>
  </w:style>
  <w:style w:type="paragraph" w:customStyle="1" w:styleId="RecommendationDoubleDot">
    <w:name w:val="Recommendation Double Dot"/>
    <w:basedOn w:val="RecommendationBaseText"/>
    <w:rsid w:val="00BF20BF"/>
    <w:pPr>
      <w:tabs>
        <w:tab w:val="num" w:pos="850"/>
      </w:tabs>
      <w:ind w:left="850" w:hanging="283"/>
    </w:pPr>
  </w:style>
  <w:style w:type="character" w:customStyle="1" w:styleId="Boldanditalic">
    <w:name w:val="Bold and italic"/>
    <w:rsid w:val="00BF20BF"/>
    <w:rPr>
      <w:b/>
      <w:i/>
    </w:rPr>
  </w:style>
  <w:style w:type="paragraph" w:customStyle="1" w:styleId="Normalnumbered">
    <w:name w:val="Normal numbered"/>
    <w:basedOn w:val="Normal"/>
    <w:rsid w:val="00BF20BF"/>
    <w:pPr>
      <w:numPr>
        <w:numId w:val="13"/>
      </w:numPr>
      <w:jc w:val="both"/>
    </w:pPr>
  </w:style>
  <w:style w:type="paragraph" w:customStyle="1" w:styleId="Romannumeral">
    <w:name w:val="Roman numeral"/>
    <w:basedOn w:val="Normal"/>
    <w:rsid w:val="00BF20BF"/>
    <w:pPr>
      <w:numPr>
        <w:numId w:val="10"/>
      </w:numPr>
    </w:pPr>
  </w:style>
  <w:style w:type="paragraph" w:customStyle="1" w:styleId="AlphaLevel3">
    <w:name w:val="Alpha Level 3"/>
    <w:basedOn w:val="Normal"/>
    <w:rsid w:val="00BF20BF"/>
    <w:pPr>
      <w:numPr>
        <w:numId w:val="11"/>
      </w:numPr>
    </w:pPr>
  </w:style>
  <w:style w:type="paragraph" w:customStyle="1" w:styleId="AlphaLevel4">
    <w:name w:val="Alpha Level 4"/>
    <w:basedOn w:val="Normal"/>
    <w:rsid w:val="00BF20BF"/>
    <w:pPr>
      <w:numPr>
        <w:numId w:val="12"/>
      </w:numPr>
      <w:jc w:val="both"/>
    </w:pPr>
  </w:style>
  <w:style w:type="paragraph" w:customStyle="1" w:styleId="NormalJustified">
    <w:name w:val="Normal Justified"/>
    <w:basedOn w:val="Normal"/>
    <w:rsid w:val="00BF20BF"/>
    <w:pPr>
      <w:jc w:val="both"/>
    </w:pPr>
  </w:style>
  <w:style w:type="paragraph" w:customStyle="1" w:styleId="RomanNumeralJustified">
    <w:name w:val="Roman Numeral Justified"/>
    <w:basedOn w:val="Romannumeral"/>
    <w:rsid w:val="00BF20BF"/>
    <w:pPr>
      <w:numPr>
        <w:numId w:val="0"/>
      </w:numPr>
      <w:tabs>
        <w:tab w:val="left" w:pos="1134"/>
      </w:tabs>
      <w:jc w:val="both"/>
    </w:pPr>
  </w:style>
  <w:style w:type="paragraph" w:customStyle="1" w:styleId="RomannumeralJustified0">
    <w:name w:val="Roman numeral Justified"/>
    <w:basedOn w:val="Romannumeral"/>
    <w:rsid w:val="00BF20BF"/>
    <w:pPr>
      <w:numPr>
        <w:numId w:val="0"/>
      </w:numPr>
      <w:jc w:val="both"/>
    </w:pPr>
  </w:style>
  <w:style w:type="paragraph" w:customStyle="1" w:styleId="Style1">
    <w:name w:val="Style1"/>
    <w:basedOn w:val="Normal"/>
    <w:rsid w:val="00BF20BF"/>
    <w:pPr>
      <w:numPr>
        <w:numId w:val="15"/>
      </w:numPr>
    </w:pPr>
  </w:style>
  <w:style w:type="paragraph" w:customStyle="1" w:styleId="CAR-Indent-Alpha-Upper">
    <w:name w:val="CAR-Indent-Alpha-Upper"/>
    <w:rsid w:val="00BF20BF"/>
    <w:pPr>
      <w:numPr>
        <w:numId w:val="14"/>
      </w:numPr>
      <w:spacing w:after="240" w:line="260" w:lineRule="exact"/>
    </w:pPr>
    <w:rPr>
      <w:rFonts w:ascii="Book Antiqua" w:hAnsi="Book Antiqua"/>
      <w:lang w:eastAsia="en-US"/>
    </w:rPr>
  </w:style>
  <w:style w:type="paragraph" w:customStyle="1" w:styleId="CAR-TableText-Left">
    <w:name w:val="CAR-TableText-Left"/>
    <w:rsid w:val="00BF20BF"/>
    <w:pPr>
      <w:spacing w:before="40" w:after="40"/>
    </w:pPr>
    <w:rPr>
      <w:rFonts w:ascii="Arial" w:hAnsi="Arial"/>
      <w:sz w:val="16"/>
      <w:lang w:eastAsia="en-US"/>
    </w:rPr>
  </w:style>
  <w:style w:type="paragraph" w:customStyle="1" w:styleId="CAR-Indent-Alpha-Lower0">
    <w:name w:val="CAR-Indent-Alpha-Lower"/>
    <w:rsid w:val="00BF20BF"/>
    <w:pPr>
      <w:numPr>
        <w:numId w:val="16"/>
      </w:numPr>
      <w:spacing w:after="240" w:line="260" w:lineRule="exact"/>
    </w:pPr>
    <w:rPr>
      <w:rFonts w:ascii="Book Antiqua" w:hAnsi="Book Antiqua"/>
      <w:lang w:eastAsia="en-US"/>
    </w:rPr>
  </w:style>
  <w:style w:type="paragraph" w:customStyle="1" w:styleId="CAR-Indent-Number">
    <w:name w:val="CAR-Indent-Number"/>
    <w:rsid w:val="00BF20BF"/>
    <w:pPr>
      <w:numPr>
        <w:numId w:val="17"/>
      </w:numPr>
      <w:spacing w:after="240" w:line="260" w:lineRule="exact"/>
      <w:jc w:val="both"/>
    </w:pPr>
    <w:rPr>
      <w:rFonts w:ascii="Book Antiqua" w:hAnsi="Book Antiqua"/>
      <w:lang w:eastAsia="en-US"/>
    </w:rPr>
  </w:style>
  <w:style w:type="paragraph" w:customStyle="1" w:styleId="CAR-BodyText-Just">
    <w:name w:val="CAR-BodyText-Just"/>
    <w:rsid w:val="00BF20BF"/>
    <w:pPr>
      <w:spacing w:after="240" w:line="260" w:lineRule="exact"/>
      <w:jc w:val="both"/>
    </w:pPr>
    <w:rPr>
      <w:rFonts w:ascii="Book Antiqua" w:hAnsi="Book Antiqua"/>
      <w:color w:val="000000"/>
      <w:lang w:eastAsia="en-US"/>
    </w:rPr>
  </w:style>
  <w:style w:type="paragraph" w:customStyle="1" w:styleId="CAR-Heading-1">
    <w:name w:val="CAR-Heading-1"/>
    <w:rsid w:val="00BF20BF"/>
    <w:pPr>
      <w:keepNext/>
      <w:spacing w:before="240" w:after="240"/>
    </w:pPr>
    <w:rPr>
      <w:rFonts w:ascii="Arial Bold" w:hAnsi="Arial Bold"/>
      <w:b/>
      <w:color w:val="000080"/>
      <w:kern w:val="32"/>
      <w:sz w:val="32"/>
      <w:lang w:eastAsia="en-US"/>
    </w:rPr>
  </w:style>
  <w:style w:type="paragraph" w:customStyle="1" w:styleId="CAR-BodyText-Left">
    <w:name w:val="CAR-BodyText-Left"/>
    <w:rsid w:val="00BF20BF"/>
    <w:pPr>
      <w:spacing w:after="240" w:line="260" w:lineRule="exact"/>
    </w:pPr>
    <w:rPr>
      <w:rFonts w:ascii="Book Antiqua" w:hAnsi="Book Antiqua"/>
      <w:lang w:eastAsia="en-US"/>
    </w:rPr>
  </w:style>
  <w:style w:type="paragraph" w:customStyle="1" w:styleId="CAR-Bullet-1">
    <w:name w:val="CAR-Bullet-1"/>
    <w:rsid w:val="00BF20BF"/>
    <w:pPr>
      <w:numPr>
        <w:numId w:val="18"/>
      </w:numPr>
      <w:spacing w:after="240" w:line="260" w:lineRule="exact"/>
    </w:pPr>
    <w:rPr>
      <w:rFonts w:ascii="Book Antiqua" w:hAnsi="Book Antiqua"/>
      <w:color w:val="000000"/>
      <w:lang w:eastAsia="en-US"/>
    </w:rPr>
  </w:style>
  <w:style w:type="paragraph" w:customStyle="1" w:styleId="CAR-Flush-Alpha-Lower">
    <w:name w:val="CAR-Flush-Alpha-Lower"/>
    <w:rsid w:val="00BF20BF"/>
    <w:pPr>
      <w:numPr>
        <w:numId w:val="19"/>
      </w:numPr>
      <w:spacing w:after="240" w:line="260" w:lineRule="exact"/>
    </w:pPr>
    <w:rPr>
      <w:rFonts w:ascii="Book Antiqua" w:hAnsi="Book Antiqua"/>
      <w:lang w:eastAsia="en-US"/>
    </w:rPr>
  </w:style>
  <w:style w:type="paragraph" w:customStyle="1" w:styleId="CAR-Heading-2">
    <w:name w:val="CAR-Heading-2"/>
    <w:rsid w:val="00BF20BF"/>
    <w:pPr>
      <w:keepNext/>
      <w:spacing w:before="240" w:after="120"/>
    </w:pPr>
    <w:rPr>
      <w:rFonts w:ascii="Arial Bold" w:hAnsi="Arial Bold"/>
      <w:b/>
      <w:color w:val="000080"/>
      <w:sz w:val="28"/>
      <w:lang w:eastAsia="en-US"/>
    </w:rPr>
  </w:style>
  <w:style w:type="paragraph" w:customStyle="1" w:styleId="CoverTitleMain">
    <w:name w:val="Cover Title Main"/>
    <w:basedOn w:val="HeadingBase"/>
    <w:next w:val="Normal"/>
    <w:rsid w:val="00BF20BF"/>
    <w:pPr>
      <w:spacing w:before="480" w:after="480"/>
      <w:jc w:val="center"/>
    </w:pPr>
    <w:rPr>
      <w:b/>
      <w:sz w:val="48"/>
    </w:rPr>
  </w:style>
  <w:style w:type="paragraph" w:customStyle="1" w:styleId="CoverTitleSub">
    <w:name w:val="Cover Title Sub"/>
    <w:basedOn w:val="HeadingBase"/>
    <w:rsid w:val="00BF20BF"/>
    <w:pPr>
      <w:spacing w:before="1440" w:after="360"/>
      <w:jc w:val="center"/>
    </w:pPr>
    <w:rPr>
      <w:sz w:val="36"/>
    </w:rPr>
  </w:style>
  <w:style w:type="paragraph" w:customStyle="1" w:styleId="CAR-TableText-Right">
    <w:name w:val="CAR-TableText-Right"/>
    <w:rsid w:val="00BF20BF"/>
    <w:pPr>
      <w:spacing w:before="40" w:after="40"/>
      <w:jc w:val="right"/>
    </w:pPr>
    <w:rPr>
      <w:rFonts w:ascii="Arial" w:hAnsi="Arial"/>
      <w:sz w:val="16"/>
      <w:lang w:eastAsia="en-US"/>
    </w:rPr>
  </w:style>
  <w:style w:type="paragraph" w:styleId="Caption">
    <w:name w:val="caption"/>
    <w:basedOn w:val="Normal"/>
    <w:next w:val="Normal"/>
    <w:qFormat/>
    <w:rsid w:val="00BF20BF"/>
    <w:pPr>
      <w:spacing w:before="120" w:after="120"/>
    </w:pPr>
    <w:rPr>
      <w:b/>
      <w:bCs/>
    </w:rPr>
  </w:style>
  <w:style w:type="paragraph" w:customStyle="1" w:styleId="CAR-TableColHead-Centre">
    <w:name w:val="CAR-TableColHead-Centre"/>
    <w:rsid w:val="00BF20BF"/>
    <w:pPr>
      <w:spacing w:before="40" w:after="40"/>
      <w:jc w:val="center"/>
    </w:pPr>
    <w:rPr>
      <w:rFonts w:ascii="Arial" w:hAnsi="Arial"/>
      <w:b/>
      <w:color w:val="000080"/>
      <w:sz w:val="16"/>
      <w:lang w:eastAsia="en-US"/>
    </w:rPr>
  </w:style>
  <w:style w:type="paragraph" w:customStyle="1" w:styleId="CAR-TableColHead-Left">
    <w:name w:val="CAR-TableColHead-Left"/>
    <w:rsid w:val="00BF20BF"/>
    <w:pPr>
      <w:spacing w:before="40" w:after="40"/>
    </w:pPr>
    <w:rPr>
      <w:rFonts w:ascii="Arial Bold" w:hAnsi="Arial Bold"/>
      <w:b/>
      <w:color w:val="000080"/>
      <w:sz w:val="16"/>
      <w:lang w:eastAsia="en-US"/>
    </w:rPr>
  </w:style>
  <w:style w:type="paragraph" w:customStyle="1" w:styleId="CAR-TableColHead-Right">
    <w:name w:val="CAR-TableColHead-Right"/>
    <w:rsid w:val="00BF20BF"/>
    <w:pPr>
      <w:keepNext/>
      <w:spacing w:before="40" w:after="40"/>
      <w:jc w:val="right"/>
    </w:pPr>
    <w:rPr>
      <w:rFonts w:ascii="Arial" w:hAnsi="Arial"/>
      <w:b/>
      <w:color w:val="000080"/>
      <w:sz w:val="16"/>
      <w:lang w:eastAsia="en-US"/>
    </w:rPr>
  </w:style>
  <w:style w:type="paragraph" w:customStyle="1" w:styleId="CAR-TableMainHead">
    <w:name w:val="CAR-TableMainHead"/>
    <w:next w:val="Normal"/>
    <w:rsid w:val="00BF20BF"/>
    <w:pPr>
      <w:keepNext/>
      <w:spacing w:after="20"/>
    </w:pPr>
    <w:rPr>
      <w:rFonts w:ascii="Arial" w:hAnsi="Arial"/>
      <w:b/>
      <w:color w:val="000080"/>
      <w:sz w:val="22"/>
      <w:lang w:eastAsia="en-US"/>
    </w:rPr>
  </w:style>
  <w:style w:type="paragraph" w:customStyle="1" w:styleId="CAR-Heading-3">
    <w:name w:val="CAR-Heading-3"/>
    <w:rsid w:val="00BF20BF"/>
    <w:pPr>
      <w:keepNext/>
      <w:spacing w:before="40" w:after="40"/>
    </w:pPr>
    <w:rPr>
      <w:rFonts w:ascii="Arial Bold" w:hAnsi="Arial Bold"/>
      <w:color w:val="000080"/>
      <w:lang w:eastAsia="en-US"/>
    </w:rPr>
  </w:style>
  <w:style w:type="paragraph" w:customStyle="1" w:styleId="CAR-Flush-Number">
    <w:name w:val="CAR-Flush-Number"/>
    <w:rsid w:val="00BF20BF"/>
    <w:pPr>
      <w:numPr>
        <w:numId w:val="22"/>
      </w:numPr>
      <w:spacing w:after="240" w:line="260" w:lineRule="exact"/>
      <w:jc w:val="both"/>
    </w:pPr>
    <w:rPr>
      <w:rFonts w:ascii="Book Antiqua" w:hAnsi="Book Antiqua"/>
      <w:lang w:eastAsia="en-US"/>
    </w:rPr>
  </w:style>
  <w:style w:type="paragraph" w:customStyle="1" w:styleId="CAR-DecisionFoot-1">
    <w:name w:val="CAR-DecisionFoot-1"/>
    <w:rsid w:val="00BF20BF"/>
    <w:pPr>
      <w:spacing w:line="260" w:lineRule="exact"/>
    </w:pPr>
    <w:rPr>
      <w:rFonts w:ascii="Book Antiqua" w:hAnsi="Book Antiqua"/>
      <w:lang w:eastAsia="en-US"/>
    </w:rPr>
  </w:style>
  <w:style w:type="paragraph" w:customStyle="1" w:styleId="CAR-Indent-Roman-1">
    <w:name w:val="CAR-Indent-Roman-1"/>
    <w:rsid w:val="00BF20BF"/>
    <w:pPr>
      <w:numPr>
        <w:numId w:val="20"/>
      </w:numPr>
      <w:spacing w:after="240" w:line="260" w:lineRule="exact"/>
      <w:jc w:val="both"/>
    </w:pPr>
    <w:rPr>
      <w:rFonts w:ascii="Book Antiqua" w:hAnsi="Book Antiqua"/>
      <w:lang w:eastAsia="en-US"/>
    </w:rPr>
  </w:style>
  <w:style w:type="paragraph" w:customStyle="1" w:styleId="CAR-Heading-5">
    <w:name w:val="CAR-Heading-5"/>
    <w:rsid w:val="00BF20BF"/>
    <w:pPr>
      <w:spacing w:after="240"/>
      <w:jc w:val="center"/>
    </w:pPr>
    <w:rPr>
      <w:rFonts w:ascii="Arial Bold" w:hAnsi="Arial Bold"/>
      <w:b/>
      <w:color w:val="000080"/>
      <w:kern w:val="32"/>
      <w:sz w:val="28"/>
      <w:lang w:eastAsia="en-US"/>
    </w:rPr>
  </w:style>
  <w:style w:type="paragraph" w:customStyle="1" w:styleId="CAR-Heading-4">
    <w:name w:val="CAR-Heading-4"/>
    <w:rsid w:val="00BF20BF"/>
    <w:pPr>
      <w:spacing w:after="240"/>
    </w:pPr>
    <w:rPr>
      <w:rFonts w:ascii="Arial Bold" w:hAnsi="Arial Bold"/>
      <w:b/>
      <w:color w:val="000080"/>
      <w:sz w:val="22"/>
      <w:lang w:eastAsia="en-US"/>
    </w:rPr>
  </w:style>
  <w:style w:type="paragraph" w:customStyle="1" w:styleId="CAR-Flush-Alpha-Upper">
    <w:name w:val="CAR-Flush-Alpha-Upper"/>
    <w:rsid w:val="00BF20BF"/>
    <w:pPr>
      <w:numPr>
        <w:numId w:val="21"/>
      </w:numPr>
      <w:spacing w:after="240" w:line="260" w:lineRule="exact"/>
      <w:jc w:val="both"/>
    </w:pPr>
    <w:rPr>
      <w:rFonts w:ascii="Book Antiqua" w:hAnsi="Book Antiqua"/>
      <w:lang w:eastAsia="en-US"/>
    </w:rPr>
  </w:style>
  <w:style w:type="paragraph" w:customStyle="1" w:styleId="CAR-DecisionFoot-2">
    <w:name w:val="CAR-DecisionFoot-2"/>
    <w:rsid w:val="00BF20BF"/>
    <w:pPr>
      <w:spacing w:line="260" w:lineRule="exact"/>
    </w:pPr>
    <w:rPr>
      <w:rFonts w:ascii="Book Antiqua" w:hAnsi="Book Antiqua"/>
      <w:b/>
      <w:lang w:eastAsia="en-US"/>
    </w:rPr>
  </w:style>
  <w:style w:type="paragraph" w:customStyle="1" w:styleId="CAR-DecisionHead">
    <w:name w:val="CAR-DecisionHead"/>
    <w:rsid w:val="00BF20BF"/>
    <w:pPr>
      <w:spacing w:line="260" w:lineRule="exact"/>
    </w:pPr>
    <w:rPr>
      <w:rFonts w:ascii="Book Antiqua" w:hAnsi="Book Antiqua"/>
      <w:lang w:eastAsia="en-US"/>
    </w:rPr>
  </w:style>
  <w:style w:type="paragraph" w:styleId="BodyText">
    <w:name w:val="Body Text"/>
    <w:basedOn w:val="Normal"/>
    <w:semiHidden/>
    <w:rsid w:val="00BF20BF"/>
    <w:pPr>
      <w:spacing w:before="360"/>
      <w:ind w:right="561"/>
      <w:jc w:val="both"/>
    </w:pPr>
  </w:style>
  <w:style w:type="paragraph" w:styleId="BalloonText">
    <w:name w:val="Balloon Text"/>
    <w:basedOn w:val="Normal"/>
    <w:semiHidden/>
    <w:rsid w:val="00BF20BF"/>
    <w:rPr>
      <w:rFonts w:ascii="Tahoma" w:hAnsi="Tahoma" w:cs="Tahoma"/>
      <w:sz w:val="16"/>
      <w:szCs w:val="16"/>
    </w:rPr>
  </w:style>
  <w:style w:type="paragraph" w:customStyle="1" w:styleId="Text-1">
    <w:name w:val="Text-1"/>
    <w:rsid w:val="00BF20BF"/>
    <w:pPr>
      <w:spacing w:before="240"/>
      <w:ind w:left="567"/>
      <w:jc w:val="both"/>
    </w:pPr>
    <w:rPr>
      <w:rFonts w:ascii="Palatino" w:hAnsi="Palatino"/>
      <w:sz w:val="24"/>
      <w:lang w:eastAsia="en-US"/>
    </w:rPr>
  </w:style>
  <w:style w:type="paragraph" w:customStyle="1" w:styleId="LDStandard1">
    <w:name w:val="LD_Standard1"/>
    <w:basedOn w:val="Normal"/>
    <w:rsid w:val="00BF20BF"/>
    <w:pPr>
      <w:keepNext/>
      <w:keepLines/>
      <w:numPr>
        <w:numId w:val="23"/>
      </w:numPr>
      <w:spacing w:before="120" w:after="60" w:line="240" w:lineRule="auto"/>
    </w:pPr>
    <w:rPr>
      <w:rFonts w:ascii="Arial" w:hAnsi="Arial" w:cs="Arial"/>
      <w:b/>
      <w:bCs/>
      <w:color w:val="auto"/>
      <w:sz w:val="22"/>
      <w:szCs w:val="22"/>
      <w:lang w:eastAsia="en-US"/>
    </w:rPr>
  </w:style>
  <w:style w:type="paragraph" w:customStyle="1" w:styleId="LDStandard2">
    <w:name w:val="LD_Standard2"/>
    <w:basedOn w:val="Normal"/>
    <w:rsid w:val="00BF20BF"/>
    <w:pPr>
      <w:numPr>
        <w:ilvl w:val="1"/>
        <w:numId w:val="23"/>
      </w:numPr>
      <w:spacing w:before="120" w:after="0" w:line="360" w:lineRule="auto"/>
      <w:jc w:val="both"/>
    </w:pPr>
    <w:rPr>
      <w:rFonts w:ascii="Arial" w:hAnsi="Arial" w:cs="Arial"/>
      <w:color w:val="auto"/>
      <w:sz w:val="22"/>
      <w:szCs w:val="22"/>
      <w:lang w:eastAsia="en-US"/>
    </w:rPr>
  </w:style>
  <w:style w:type="paragraph" w:customStyle="1" w:styleId="LDStandard3">
    <w:name w:val="LD_Standard3"/>
    <w:basedOn w:val="Normal"/>
    <w:rsid w:val="00BF20BF"/>
    <w:pPr>
      <w:numPr>
        <w:ilvl w:val="2"/>
        <w:numId w:val="23"/>
      </w:numPr>
      <w:spacing w:before="120" w:after="0" w:line="360" w:lineRule="auto"/>
      <w:jc w:val="both"/>
    </w:pPr>
    <w:rPr>
      <w:rFonts w:ascii="Arial" w:hAnsi="Arial" w:cs="Arial"/>
      <w:color w:val="auto"/>
      <w:sz w:val="22"/>
      <w:szCs w:val="22"/>
      <w:lang w:eastAsia="en-US"/>
    </w:rPr>
  </w:style>
  <w:style w:type="paragraph" w:customStyle="1" w:styleId="LDStandard4">
    <w:name w:val="LD_Standard4"/>
    <w:basedOn w:val="Normal"/>
    <w:rsid w:val="00BF20BF"/>
    <w:pPr>
      <w:numPr>
        <w:ilvl w:val="3"/>
        <w:numId w:val="23"/>
      </w:numPr>
      <w:spacing w:before="120" w:after="0" w:line="360" w:lineRule="auto"/>
      <w:jc w:val="both"/>
    </w:pPr>
    <w:rPr>
      <w:rFonts w:ascii="Arial" w:hAnsi="Arial" w:cs="Arial"/>
      <w:color w:val="auto"/>
      <w:sz w:val="22"/>
      <w:szCs w:val="22"/>
      <w:lang w:eastAsia="en-US"/>
    </w:rPr>
  </w:style>
  <w:style w:type="paragraph" w:customStyle="1" w:styleId="LDStandard5">
    <w:name w:val="LD_Standard5"/>
    <w:basedOn w:val="Normal"/>
    <w:rsid w:val="00BF20BF"/>
    <w:pPr>
      <w:numPr>
        <w:ilvl w:val="4"/>
        <w:numId w:val="23"/>
      </w:numPr>
      <w:spacing w:before="120" w:after="0" w:line="360" w:lineRule="auto"/>
      <w:jc w:val="both"/>
    </w:pPr>
    <w:rPr>
      <w:rFonts w:ascii="Arial" w:hAnsi="Arial" w:cs="Arial"/>
      <w:color w:val="auto"/>
      <w:sz w:val="22"/>
      <w:szCs w:val="22"/>
      <w:lang w:eastAsia="en-US"/>
    </w:rPr>
  </w:style>
  <w:style w:type="paragraph" w:customStyle="1" w:styleId="LDStandard6">
    <w:name w:val="LD_Standard6"/>
    <w:basedOn w:val="Normal"/>
    <w:rsid w:val="00BF20BF"/>
    <w:pPr>
      <w:numPr>
        <w:ilvl w:val="5"/>
        <w:numId w:val="23"/>
      </w:numPr>
      <w:spacing w:before="120" w:after="0" w:line="360" w:lineRule="auto"/>
      <w:jc w:val="both"/>
    </w:pPr>
    <w:rPr>
      <w:rFonts w:ascii="Arial" w:hAnsi="Arial" w:cs="Arial"/>
      <w:color w:val="auto"/>
      <w:sz w:val="22"/>
      <w:szCs w:val="22"/>
      <w:lang w:eastAsia="en-US"/>
    </w:rPr>
  </w:style>
  <w:style w:type="paragraph" w:customStyle="1" w:styleId="Level1fo">
    <w:name w:val="Level 1.fo"/>
    <w:basedOn w:val="Normal"/>
    <w:rsid w:val="00BF20BF"/>
    <w:pPr>
      <w:spacing w:before="240" w:after="0" w:line="240" w:lineRule="auto"/>
      <w:ind w:left="720"/>
    </w:pPr>
    <w:rPr>
      <w:rFonts w:ascii="Palatino" w:hAnsi="Palatino"/>
      <w:color w:val="auto"/>
      <w:sz w:val="22"/>
      <w:lang w:eastAsia="en-US"/>
    </w:rPr>
  </w:style>
  <w:style w:type="paragraph" w:customStyle="1" w:styleId="AlphaLower-2">
    <w:name w:val="AlphaLower-2"/>
    <w:rsid w:val="00BF20BF"/>
    <w:pPr>
      <w:numPr>
        <w:numId w:val="24"/>
      </w:numPr>
      <w:tabs>
        <w:tab w:val="left" w:pos="1418"/>
      </w:tabs>
      <w:spacing w:before="240"/>
      <w:jc w:val="both"/>
    </w:pPr>
    <w:rPr>
      <w:rFonts w:ascii="Palatino" w:hAnsi="Palatino"/>
      <w:sz w:val="24"/>
      <w:lang w:eastAsia="en-US"/>
    </w:rPr>
  </w:style>
  <w:style w:type="paragraph" w:customStyle="1" w:styleId="NumLarge-1">
    <w:name w:val="NumLarge-1"/>
    <w:rsid w:val="00BF20BF"/>
    <w:pPr>
      <w:numPr>
        <w:numId w:val="25"/>
      </w:numPr>
      <w:spacing w:after="240" w:line="260" w:lineRule="exact"/>
      <w:jc w:val="both"/>
    </w:pPr>
    <w:rPr>
      <w:rFonts w:ascii="Book Antiqua" w:hAnsi="Book Antiqua"/>
      <w:lang w:eastAsia="en-US"/>
    </w:rPr>
  </w:style>
  <w:style w:type="paragraph" w:customStyle="1" w:styleId="NumSmall-3">
    <w:name w:val="NumSmall-3"/>
    <w:rsid w:val="00BF20BF"/>
    <w:pPr>
      <w:numPr>
        <w:numId w:val="26"/>
      </w:numPr>
      <w:tabs>
        <w:tab w:val="clear" w:pos="2127"/>
        <w:tab w:val="left" w:pos="2126"/>
      </w:tabs>
      <w:spacing w:before="240"/>
      <w:jc w:val="both"/>
    </w:pPr>
    <w:rPr>
      <w:rFonts w:ascii="Palatino" w:hAnsi="Palatino"/>
      <w:sz w:val="24"/>
      <w:lang w:eastAsia="en-US"/>
    </w:rPr>
  </w:style>
  <w:style w:type="paragraph" w:customStyle="1" w:styleId="BodyText-3">
    <w:name w:val="BodyText-3"/>
    <w:rsid w:val="00BF20BF"/>
    <w:pPr>
      <w:spacing w:before="120"/>
      <w:ind w:left="1418"/>
      <w:jc w:val="both"/>
    </w:pPr>
    <w:rPr>
      <w:rFonts w:ascii="Palatino" w:hAnsi="Palatino"/>
      <w:sz w:val="24"/>
      <w:lang w:eastAsia="en-US"/>
    </w:rPr>
  </w:style>
  <w:style w:type="paragraph" w:customStyle="1" w:styleId="BodyText-1">
    <w:name w:val="BodyText-1"/>
    <w:rsid w:val="00BF20BF"/>
    <w:pPr>
      <w:spacing w:before="240"/>
      <w:jc w:val="both"/>
    </w:pPr>
    <w:rPr>
      <w:rFonts w:ascii="Palatino" w:hAnsi="Palatino"/>
      <w:sz w:val="24"/>
      <w:lang w:eastAsia="en-US"/>
    </w:rPr>
  </w:style>
  <w:style w:type="character" w:styleId="CommentReference">
    <w:name w:val="annotation reference"/>
    <w:semiHidden/>
    <w:unhideWhenUsed/>
    <w:rsid w:val="00BF20BF"/>
    <w:rPr>
      <w:sz w:val="16"/>
      <w:szCs w:val="16"/>
    </w:rPr>
  </w:style>
  <w:style w:type="paragraph" w:customStyle="1" w:styleId="CAR-Indent-Asterisk">
    <w:name w:val="CAR-Indent-Asterisk"/>
    <w:rsid w:val="00BF20BF"/>
    <w:pPr>
      <w:numPr>
        <w:numId w:val="27"/>
      </w:numPr>
      <w:spacing w:before="240"/>
    </w:pPr>
    <w:rPr>
      <w:rFonts w:ascii="Book Antiqua" w:hAnsi="Book Antiqua"/>
      <w:lang w:eastAsia="en-US"/>
    </w:rPr>
  </w:style>
  <w:style w:type="paragraph" w:styleId="CommentText">
    <w:name w:val="annotation text"/>
    <w:basedOn w:val="Normal"/>
    <w:semiHidden/>
    <w:unhideWhenUsed/>
    <w:rsid w:val="00BF20BF"/>
  </w:style>
  <w:style w:type="character" w:customStyle="1" w:styleId="CommentTextChar">
    <w:name w:val="Comment Text Char"/>
    <w:semiHidden/>
    <w:rsid w:val="00BF20BF"/>
    <w:rPr>
      <w:rFonts w:ascii="Book Antiqua" w:hAnsi="Book Antiqua"/>
      <w:color w:val="000000"/>
    </w:rPr>
  </w:style>
  <w:style w:type="paragraph" w:styleId="CommentSubject">
    <w:name w:val="annotation subject"/>
    <w:basedOn w:val="CommentText"/>
    <w:next w:val="CommentText"/>
    <w:semiHidden/>
    <w:unhideWhenUsed/>
    <w:rsid w:val="00BF20BF"/>
    <w:rPr>
      <w:b/>
      <w:bCs/>
    </w:rPr>
  </w:style>
  <w:style w:type="character" w:customStyle="1" w:styleId="CommentSubjectChar">
    <w:name w:val="Comment Subject Char"/>
    <w:semiHidden/>
    <w:rsid w:val="00BF20BF"/>
    <w:rPr>
      <w:rFonts w:ascii="Book Antiqua" w:hAnsi="Book Antiqua"/>
      <w:b/>
      <w:bCs/>
      <w:color w:val="000000"/>
    </w:rPr>
  </w:style>
  <w:style w:type="paragraph" w:customStyle="1" w:styleId="Default">
    <w:name w:val="Default"/>
    <w:rsid w:val="00BC397B"/>
    <w:pPr>
      <w:autoSpaceDE w:val="0"/>
      <w:autoSpaceDN w:val="0"/>
      <w:adjustRightInd w:val="0"/>
    </w:pPr>
    <w:rPr>
      <w:rFonts w:ascii="Book Antiqua" w:hAnsi="Book Antiqua" w:cs="Book Antiqua"/>
      <w:color w:val="000000"/>
      <w:sz w:val="24"/>
      <w:szCs w:val="24"/>
      <w:lang w:val="en-US" w:eastAsia="en-US"/>
    </w:rPr>
  </w:style>
  <w:style w:type="paragraph" w:customStyle="1" w:styleId="CAR-Indent-2">
    <w:name w:val="CAR-Indent-2"/>
    <w:rsid w:val="00BF20BF"/>
    <w:pPr>
      <w:autoSpaceDE w:val="0"/>
      <w:autoSpaceDN w:val="0"/>
      <w:adjustRightInd w:val="0"/>
      <w:spacing w:after="240" w:line="260" w:lineRule="exact"/>
      <w:ind w:left="1134"/>
    </w:pPr>
    <w:rPr>
      <w:rFonts w:ascii="Book Antiqua" w:hAnsi="Book Antiqua"/>
      <w:lang w:val="en-US" w:eastAsia="en-US"/>
    </w:rPr>
  </w:style>
  <w:style w:type="paragraph" w:customStyle="1" w:styleId="CAR-Indent-1">
    <w:name w:val="CAR-Indent-1"/>
    <w:rsid w:val="00BF20BF"/>
    <w:pPr>
      <w:autoSpaceDE w:val="0"/>
      <w:autoSpaceDN w:val="0"/>
      <w:adjustRightInd w:val="0"/>
      <w:spacing w:after="240" w:line="260" w:lineRule="exact"/>
      <w:ind w:left="567"/>
    </w:pPr>
    <w:rPr>
      <w:rFonts w:ascii="Book Antiqua" w:hAnsi="Book Antiqua"/>
      <w:lang w:val="en-US" w:eastAsia="en-US"/>
    </w:rPr>
  </w:style>
  <w:style w:type="paragraph" w:customStyle="1" w:styleId="CAR-Bullet-2">
    <w:name w:val="CAR-Bullet-2"/>
    <w:rsid w:val="00BF20BF"/>
    <w:pPr>
      <w:numPr>
        <w:numId w:val="28"/>
      </w:numPr>
      <w:tabs>
        <w:tab w:val="left" w:pos="1134"/>
      </w:tabs>
      <w:spacing w:after="240" w:line="260" w:lineRule="exact"/>
    </w:pPr>
    <w:rPr>
      <w:rFonts w:ascii="Book Antiqua" w:hAnsi="Book Antiqua"/>
      <w:lang w:eastAsia="en-US"/>
    </w:rPr>
  </w:style>
  <w:style w:type="paragraph" w:customStyle="1" w:styleId="CAR-Indent-Alpha-lower">
    <w:name w:val="CAR-Indent-Alpha-lower"/>
    <w:rsid w:val="00BF20BF"/>
    <w:pPr>
      <w:numPr>
        <w:numId w:val="30"/>
      </w:numPr>
      <w:spacing w:after="240" w:line="260" w:lineRule="exact"/>
      <w:ind w:right="561"/>
    </w:pPr>
    <w:rPr>
      <w:rFonts w:ascii="Book Antiqua" w:hAnsi="Book Antiqua"/>
      <w:lang w:eastAsia="en-US"/>
    </w:rPr>
  </w:style>
  <w:style w:type="paragraph" w:customStyle="1" w:styleId="CAR-Indent-Roman-2">
    <w:name w:val="CAR-Indent-Roman-2"/>
    <w:rsid w:val="00BF20BF"/>
    <w:pPr>
      <w:numPr>
        <w:numId w:val="31"/>
      </w:numPr>
      <w:tabs>
        <w:tab w:val="left" w:pos="1843"/>
      </w:tabs>
      <w:spacing w:after="240" w:line="260" w:lineRule="exact"/>
    </w:pPr>
    <w:rPr>
      <w:rFonts w:ascii="Book Antiqua" w:hAnsi="Book Antiqua"/>
      <w:lang w:eastAsia="en-US"/>
    </w:rPr>
  </w:style>
  <w:style w:type="paragraph" w:styleId="Revision">
    <w:name w:val="Revision"/>
    <w:hidden/>
    <w:uiPriority w:val="99"/>
    <w:semiHidden/>
    <w:rsid w:val="00D402D3"/>
    <w:rPr>
      <w:rFonts w:ascii="Book Antiqua" w:hAnsi="Book Antiqua"/>
      <w:color w:val="000000"/>
    </w:rPr>
  </w:style>
  <w:style w:type="character" w:customStyle="1" w:styleId="Heading1Char">
    <w:name w:val="Heading 1 Char"/>
    <w:basedOn w:val="DefaultParagraphFont"/>
    <w:link w:val="Heading1"/>
    <w:rsid w:val="00DA41E0"/>
    <w:rPr>
      <w:rFonts w:ascii="Arial" w:hAnsi="Arial" w:cs="Arial"/>
      <w:b/>
      <w:bCs/>
      <w:color w:val="000080"/>
      <w:kern w:val="32"/>
      <w:sz w:val="32"/>
      <w:szCs w:val="36"/>
    </w:rPr>
  </w:style>
  <w:style w:type="character" w:customStyle="1" w:styleId="FootnoteTextChar">
    <w:name w:val="Footnote Text Char"/>
    <w:basedOn w:val="DefaultParagraphFont"/>
    <w:link w:val="FootnoteText"/>
    <w:semiHidden/>
    <w:rsid w:val="00DA41E0"/>
    <w:rPr>
      <w:rFonts w:ascii="Book Antiqua" w:hAnsi="Book Antiqua"/>
      <w:color w:val="000000"/>
      <w:sz w:val="18"/>
    </w:rPr>
  </w:style>
</w:styles>
</file>

<file path=word/webSettings.xml><?xml version="1.0" encoding="utf-8"?>
<w:webSettings xmlns:r="http://schemas.openxmlformats.org/officeDocument/2006/relationships" xmlns:w="http://schemas.openxmlformats.org/wordprocessingml/2006/main">
  <w:divs>
    <w:div w:id="284851257">
      <w:bodyDiv w:val="1"/>
      <w:marLeft w:val="0"/>
      <w:marRight w:val="0"/>
      <w:marTop w:val="0"/>
      <w:marBottom w:val="0"/>
      <w:divBdr>
        <w:top w:val="none" w:sz="0" w:space="0" w:color="auto"/>
        <w:left w:val="none" w:sz="0" w:space="0" w:color="auto"/>
        <w:bottom w:val="none" w:sz="0" w:space="0" w:color="auto"/>
        <w:right w:val="none" w:sz="0" w:space="0" w:color="auto"/>
      </w:divBdr>
    </w:div>
    <w:div w:id="536435894">
      <w:bodyDiv w:val="1"/>
      <w:marLeft w:val="0"/>
      <w:marRight w:val="0"/>
      <w:marTop w:val="0"/>
      <w:marBottom w:val="0"/>
      <w:divBdr>
        <w:top w:val="none" w:sz="0" w:space="0" w:color="auto"/>
        <w:left w:val="none" w:sz="0" w:space="0" w:color="auto"/>
        <w:bottom w:val="none" w:sz="0" w:space="0" w:color="auto"/>
        <w:right w:val="none" w:sz="0" w:space="0" w:color="auto"/>
      </w:divBdr>
      <w:divsChild>
        <w:div w:id="444038530">
          <w:marLeft w:val="0"/>
          <w:marRight w:val="0"/>
          <w:marTop w:val="0"/>
          <w:marBottom w:val="0"/>
          <w:divBdr>
            <w:top w:val="none" w:sz="0" w:space="0" w:color="auto"/>
            <w:left w:val="none" w:sz="0" w:space="0" w:color="auto"/>
            <w:bottom w:val="none" w:sz="0" w:space="0" w:color="auto"/>
            <w:right w:val="none" w:sz="0" w:space="0" w:color="auto"/>
          </w:divBdr>
        </w:div>
      </w:divsChild>
    </w:div>
    <w:div w:id="1495489390">
      <w:bodyDiv w:val="1"/>
      <w:marLeft w:val="0"/>
      <w:marRight w:val="0"/>
      <w:marTop w:val="0"/>
      <w:marBottom w:val="0"/>
      <w:divBdr>
        <w:top w:val="none" w:sz="0" w:space="0" w:color="auto"/>
        <w:left w:val="none" w:sz="0" w:space="0" w:color="auto"/>
        <w:bottom w:val="none" w:sz="0" w:space="0" w:color="auto"/>
        <w:right w:val="none" w:sz="0" w:space="0" w:color="auto"/>
      </w:divBdr>
    </w:div>
    <w:div w:id="1807502502">
      <w:bodyDiv w:val="1"/>
      <w:marLeft w:val="0"/>
      <w:marRight w:val="0"/>
      <w:marTop w:val="0"/>
      <w:marBottom w:val="0"/>
      <w:divBdr>
        <w:top w:val="none" w:sz="0" w:space="0" w:color="auto"/>
        <w:left w:val="none" w:sz="0" w:space="0" w:color="auto"/>
        <w:bottom w:val="none" w:sz="0" w:space="0" w:color="auto"/>
        <w:right w:val="none" w:sz="0" w:space="0" w:color="auto"/>
      </w:divBdr>
    </w:div>
    <w:div w:id="2036691600">
      <w:bodyDiv w:val="1"/>
      <w:marLeft w:val="0"/>
      <w:marRight w:val="0"/>
      <w:marTop w:val="0"/>
      <w:marBottom w:val="0"/>
      <w:divBdr>
        <w:top w:val="none" w:sz="0" w:space="0" w:color="auto"/>
        <w:left w:val="none" w:sz="0" w:space="0" w:color="auto"/>
        <w:bottom w:val="none" w:sz="0" w:space="0" w:color="auto"/>
        <w:right w:val="none" w:sz="0" w:space="0" w:color="auto"/>
      </w:divBdr>
      <w:divsChild>
        <w:div w:id="1741177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ary.hoare@caldb.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DDF3F-194A-4AC2-9714-4796156D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5187</Words>
  <Characters>29572</Characters>
  <Application>Microsoft Office Word</Application>
  <DocSecurity>8</DocSecurity>
  <Lines>246</Lines>
  <Paragraphs>69</Paragraphs>
  <ScaleCrop>false</ScaleCrop>
  <HeadingPairs>
    <vt:vector size="2" baseType="variant">
      <vt:variant>
        <vt:lpstr>Title</vt:lpstr>
      </vt:variant>
      <vt:variant>
        <vt:i4>1</vt:i4>
      </vt:variant>
    </vt:vector>
  </HeadingPairs>
  <TitlesOfParts>
    <vt:vector size="1" baseType="lpstr">
      <vt:lpstr>OVERVIEW</vt:lpstr>
    </vt:vector>
  </TitlesOfParts>
  <Company>ASIC</Company>
  <LinksUpToDate>false</LinksUpToDate>
  <CharactersWithSpaces>34690</CharactersWithSpaces>
  <SharedDoc>false</SharedDoc>
  <HLinks>
    <vt:vector size="6" baseType="variant">
      <vt:variant>
        <vt:i4>1769507</vt:i4>
      </vt:variant>
      <vt:variant>
        <vt:i4>0</vt:i4>
      </vt:variant>
      <vt:variant>
        <vt:i4>0</vt:i4>
      </vt:variant>
      <vt:variant>
        <vt:i4>5</vt:i4>
      </vt:variant>
      <vt:variant>
        <vt:lpwstr>mailto:gary.hoare@caldb.gov.au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Paul.Coleman</dc:creator>
  <cp:lastModifiedBy>Anne Agnew</cp:lastModifiedBy>
  <cp:revision>6</cp:revision>
  <cp:lastPrinted>2013-10-18T04:41:00Z</cp:lastPrinted>
  <dcterms:created xsi:type="dcterms:W3CDTF">2013-09-23T03:54:00Z</dcterms:created>
  <dcterms:modified xsi:type="dcterms:W3CDTF">2013-10-21T04:01:00Z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112544626</vt:lpwstr>
  </property>
  <property fmtid="{D5CDD505-2E9C-101B-9397-08002B2CF9AE}" pid="3" name="_NewReviewCycle">
    <vt:lpwstr/>
  </property>
  <property fmtid="{D5CDD505-2E9C-101B-9397-08002B2CF9AE}" pid="4" name="ContentType">
    <vt:lpwstr>Document</vt:lpwstr>
  </property>
  <property fmtid="{D5CDD505-2E9C-101B-9397-08002B2CF9AE}" pid="5" name="TagsFieldForKWizComTags1">
    <vt:lpwstr/>
  </property>
</Properties>
</file>