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D4056" w14:textId="77777777" w:rsidR="00535B50" w:rsidRPr="00755D7D" w:rsidRDefault="00306FBA" w:rsidP="003B554F">
      <w:pPr>
        <w:pStyle w:val="CAR-CoverMain"/>
        <w:spacing w:before="2760"/>
      </w:pPr>
      <w:r w:rsidRPr="00755D7D">
        <w:t>Companies Auditors and Liquidators</w:t>
      </w:r>
      <w:r w:rsidRPr="00755D7D">
        <w:br/>
        <w:t>Disciplinary Board</w:t>
      </w:r>
    </w:p>
    <w:p w14:paraId="500A0672" w14:textId="77777777" w:rsidR="00535B50" w:rsidRPr="000450D9" w:rsidRDefault="00306FBA" w:rsidP="000450D9">
      <w:pPr>
        <w:pStyle w:val="CAR-CoverSub"/>
      </w:pPr>
      <w:r w:rsidRPr="000450D9">
        <w:t>Annual Repor</w:t>
      </w:r>
      <w:r w:rsidR="00387D27" w:rsidRPr="000450D9">
        <w:t>t</w:t>
      </w:r>
      <w:r w:rsidR="00827372" w:rsidRPr="000450D9">
        <w:br/>
      </w:r>
      <w:r w:rsidR="00CA6FC8" w:rsidRPr="000450D9">
        <w:t xml:space="preserve">for </w:t>
      </w:r>
      <w:r w:rsidR="007A1517" w:rsidRPr="000450D9">
        <w:t xml:space="preserve">the </w:t>
      </w:r>
      <w:r w:rsidR="00CA6FC8" w:rsidRPr="000450D9">
        <w:t>year end</w:t>
      </w:r>
      <w:r w:rsidR="006C7A85" w:rsidRPr="000450D9">
        <w:t xml:space="preserve">ing </w:t>
      </w:r>
      <w:r w:rsidR="00CA6FC8" w:rsidRPr="000450D9">
        <w:t>30 June 201</w:t>
      </w:r>
      <w:r w:rsidR="0061109C" w:rsidRPr="000450D9">
        <w:t>4</w:t>
      </w:r>
    </w:p>
    <w:p w14:paraId="2BA63023" w14:textId="77777777" w:rsidR="00633B17" w:rsidRPr="00755D7D" w:rsidRDefault="00633B17" w:rsidP="00827372">
      <w:pPr>
        <w:pStyle w:val="CAR-CoverSub"/>
        <w:tabs>
          <w:tab w:val="left" w:pos="0"/>
        </w:tabs>
        <w:ind w:right="56"/>
        <w:outlineLvl w:val="0"/>
      </w:pPr>
    </w:p>
    <w:p w14:paraId="219177B2" w14:textId="77777777" w:rsidR="00854BA6" w:rsidRDefault="00854BA6" w:rsidP="006E37E2">
      <w:pPr>
        <w:pStyle w:val="CAR-BodyText-Left"/>
        <w:spacing w:before="240"/>
        <w:sectPr w:rsidR="00854BA6" w:rsidSect="000450F5">
          <w:footerReference w:type="default" r:id="rId13"/>
          <w:pgSz w:w="11907" w:h="16834" w:code="9"/>
          <w:pgMar w:top="2466" w:right="2098" w:bottom="2466" w:left="2098" w:header="1899" w:footer="1899" w:gutter="0"/>
          <w:pgNumType w:fmt="lowerRoman" w:start="1"/>
          <w:cols w:space="720"/>
          <w:titlePg/>
          <w:docGrid w:linePitch="326"/>
        </w:sectPr>
      </w:pPr>
    </w:p>
    <w:p w14:paraId="64A9BE5B" w14:textId="77777777" w:rsidR="000134B9" w:rsidRPr="000450F5" w:rsidRDefault="000134B9" w:rsidP="000450F5">
      <w:pPr>
        <w:pStyle w:val="CAR-BodyText-Left"/>
        <w:spacing w:after="120"/>
        <w:rPr>
          <w:sz w:val="18"/>
          <w:szCs w:val="18"/>
        </w:rPr>
      </w:pPr>
      <w:r w:rsidRPr="000450F5">
        <w:rPr>
          <w:sz w:val="18"/>
          <w:szCs w:val="18"/>
        </w:rPr>
        <w:lastRenderedPageBreak/>
        <w:t xml:space="preserve">© Commonwealth of Australia </w:t>
      </w:r>
      <w:r w:rsidR="00F633C6" w:rsidRPr="000450F5">
        <w:rPr>
          <w:sz w:val="18"/>
          <w:szCs w:val="18"/>
        </w:rPr>
        <w:t>2014</w:t>
      </w:r>
    </w:p>
    <w:p w14:paraId="7FAB58BF" w14:textId="1546828E" w:rsidR="000134B9" w:rsidRPr="000450F5" w:rsidRDefault="000134B9" w:rsidP="000450F5">
      <w:pPr>
        <w:spacing w:after="120"/>
        <w:rPr>
          <w:rFonts w:cs="Arial"/>
          <w:color w:val="auto"/>
          <w:sz w:val="20"/>
          <w:szCs w:val="20"/>
        </w:rPr>
      </w:pPr>
      <w:r w:rsidRPr="000450F5">
        <w:rPr>
          <w:sz w:val="20"/>
          <w:szCs w:val="20"/>
        </w:rPr>
        <w:t xml:space="preserve">ISBN </w:t>
      </w:r>
      <w:r w:rsidR="00600A60" w:rsidRPr="000450F5">
        <w:rPr>
          <w:rFonts w:cs="Arial"/>
          <w:color w:val="auto"/>
          <w:sz w:val="20"/>
          <w:szCs w:val="20"/>
        </w:rPr>
        <w:t>978-1-925220-05-6</w:t>
      </w:r>
    </w:p>
    <w:p w14:paraId="6B78A29A" w14:textId="77777777" w:rsidR="000134B9" w:rsidRPr="000450F5" w:rsidRDefault="000134B9" w:rsidP="000450F5">
      <w:pPr>
        <w:pStyle w:val="Copyrighttext"/>
      </w:pPr>
      <w:r w:rsidRPr="000450F5">
        <w:t xml:space="preserve">This publication is available for your use under a </w:t>
      </w:r>
      <w:hyperlink r:id="rId14" w:history="1">
        <w:r w:rsidRPr="000450F5">
          <w:t>Creative Commons Attribution 3.0 Australia</w:t>
        </w:r>
      </w:hyperlink>
      <w:r w:rsidRPr="000450F5">
        <w:t xml:space="preserve"> licence, with the exception of the Commonwealth Coat of Arms, the Treasury logo, photographs, images, signatures and where otherwise stated. The full licence terms are available from </w:t>
      </w:r>
      <w:hyperlink r:id="rId15" w:history="1">
        <w:r w:rsidRPr="000450F5">
          <w:t>http://creativecommons.org/licenses/by/3.0/au/legalcode</w:t>
        </w:r>
      </w:hyperlink>
      <w:r w:rsidRPr="000450F5">
        <w:t xml:space="preserve">. </w:t>
      </w:r>
    </w:p>
    <w:p w14:paraId="0E02DA85" w14:textId="2A4C887F" w:rsidR="000134B9" w:rsidRPr="00755D7D" w:rsidRDefault="009B1600" w:rsidP="006E37E2">
      <w:pPr>
        <w:pStyle w:val="ChartGraphic"/>
        <w:jc w:val="left"/>
      </w:pPr>
      <w:r>
        <w:rPr>
          <w:noProof/>
        </w:rPr>
        <w:drawing>
          <wp:inline distT="0" distB="0" distL="0" distR="0" wp14:anchorId="54B43DB7" wp14:editId="5FFDE524">
            <wp:extent cx="810895" cy="284480"/>
            <wp:effectExtent l="0" t="0" r="8255" b="1270"/>
            <wp:docPr id="1"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0895" cy="284480"/>
                    </a:xfrm>
                    <a:prstGeom prst="rect">
                      <a:avLst/>
                    </a:prstGeom>
                    <a:noFill/>
                    <a:ln>
                      <a:noFill/>
                    </a:ln>
                  </pic:spPr>
                </pic:pic>
              </a:graphicData>
            </a:graphic>
          </wp:inline>
        </w:drawing>
      </w:r>
    </w:p>
    <w:p w14:paraId="1E85DB70" w14:textId="77777777" w:rsidR="000134B9" w:rsidRPr="00755D7D" w:rsidRDefault="000134B9" w:rsidP="000450F5">
      <w:pPr>
        <w:pStyle w:val="Copyrighttext"/>
      </w:pPr>
      <w:r w:rsidRPr="00755D7D">
        <w:t xml:space="preserve">Use of Treasury material under a </w:t>
      </w:r>
      <w:hyperlink r:id="rId17" w:history="1">
        <w:r w:rsidRPr="00755D7D">
          <w:t>Creative Commons Attribution 3.0 Australia</w:t>
        </w:r>
      </w:hyperlink>
      <w:r w:rsidRPr="00755D7D">
        <w:t xml:space="preserve"> licence requires you to attribute the work (but not in any way that suggests that the Treasury endorses you or your use of the work). </w:t>
      </w:r>
    </w:p>
    <w:p w14:paraId="1040173B" w14:textId="77777777" w:rsidR="000134B9" w:rsidRPr="000450F5" w:rsidRDefault="000134B9" w:rsidP="000450F5">
      <w:pPr>
        <w:pStyle w:val="Copyrighttext"/>
        <w:ind w:left="851"/>
        <w:rPr>
          <w:i/>
        </w:rPr>
      </w:pPr>
      <w:proofErr w:type="gramStart"/>
      <w:r w:rsidRPr="000450F5">
        <w:rPr>
          <w:i/>
        </w:rPr>
        <w:t xml:space="preserve">Treasury material used </w:t>
      </w:r>
      <w:r w:rsidR="0044339B" w:rsidRPr="000450F5">
        <w:rPr>
          <w:i/>
        </w:rPr>
        <w:t>‘</w:t>
      </w:r>
      <w:r w:rsidRPr="000450F5">
        <w:rPr>
          <w:i/>
        </w:rPr>
        <w:t>as supplied</w:t>
      </w:r>
      <w:r w:rsidR="0044339B" w:rsidRPr="000450F5">
        <w:rPr>
          <w:i/>
        </w:rPr>
        <w:t>’</w:t>
      </w:r>
      <w:r w:rsidR="00F633C6" w:rsidRPr="000450F5">
        <w:rPr>
          <w:i/>
        </w:rPr>
        <w:t>.</w:t>
      </w:r>
      <w:proofErr w:type="gramEnd"/>
    </w:p>
    <w:p w14:paraId="05C7E71D" w14:textId="77777777" w:rsidR="000134B9" w:rsidRPr="00755D7D" w:rsidRDefault="000134B9" w:rsidP="000450F5">
      <w:pPr>
        <w:pStyle w:val="Copyrighttext"/>
      </w:pPr>
      <w:r w:rsidRPr="00755D7D">
        <w:t>Provided you have not modified or transformed Treasury material in any way including, for example, by changing the Treasury text; calculating percentage changes; graphing or charting data; or deriving new statistics from published Treasury statistics</w:t>
      </w:r>
      <w:r w:rsidR="00F633C6" w:rsidRPr="00755D7D">
        <w:t xml:space="preserve"> — </w:t>
      </w:r>
      <w:r w:rsidRPr="00755D7D">
        <w:t xml:space="preserve">then Treasury prefers the following attribution: </w:t>
      </w:r>
    </w:p>
    <w:p w14:paraId="60F9EB3F" w14:textId="77777777" w:rsidR="000134B9" w:rsidRPr="000450F5" w:rsidRDefault="000134B9" w:rsidP="000450F5">
      <w:pPr>
        <w:pStyle w:val="Copyrighttext"/>
        <w:ind w:left="851"/>
        <w:rPr>
          <w:i/>
        </w:rPr>
      </w:pPr>
      <w:r w:rsidRPr="000450F5">
        <w:rPr>
          <w:i/>
        </w:rPr>
        <w:t>Source: The Australian Government the</w:t>
      </w:r>
      <w:r w:rsidR="00F633C6" w:rsidRPr="000450F5">
        <w:rPr>
          <w:i/>
        </w:rPr>
        <w:t xml:space="preserve"> Treasury.</w:t>
      </w:r>
    </w:p>
    <w:p w14:paraId="6EC2B410" w14:textId="77777777" w:rsidR="000134B9" w:rsidRPr="000450F5" w:rsidRDefault="000134B9" w:rsidP="000450F5">
      <w:pPr>
        <w:pStyle w:val="Copyrightheading"/>
      </w:pPr>
      <w:r w:rsidRPr="000450F5">
        <w:t>Derivative material</w:t>
      </w:r>
    </w:p>
    <w:p w14:paraId="3E82C465" w14:textId="77777777" w:rsidR="000134B9" w:rsidRPr="00755D7D" w:rsidRDefault="000134B9" w:rsidP="00A70BEC">
      <w:pPr>
        <w:pStyle w:val="Copyrighttext"/>
        <w:spacing w:before="0"/>
      </w:pPr>
      <w:r w:rsidRPr="00755D7D">
        <w:t xml:space="preserve">If you have modified or transformed Treasury material, or derived new material from those of the Treasury in any way, then Treasury prefers the following attribution: </w:t>
      </w:r>
    </w:p>
    <w:p w14:paraId="39B536D3" w14:textId="77777777" w:rsidR="000134B9" w:rsidRPr="000450F5" w:rsidRDefault="000134B9" w:rsidP="000450F5">
      <w:pPr>
        <w:pStyle w:val="Copyrighttext"/>
        <w:ind w:left="851"/>
        <w:rPr>
          <w:i/>
        </w:rPr>
      </w:pPr>
      <w:proofErr w:type="gramStart"/>
      <w:r w:rsidRPr="000450F5">
        <w:rPr>
          <w:i/>
        </w:rPr>
        <w:t>Based on The Australian Government the Treasury data</w:t>
      </w:r>
      <w:r w:rsidR="00F633C6" w:rsidRPr="000450F5">
        <w:rPr>
          <w:i/>
        </w:rPr>
        <w:t>.</w:t>
      </w:r>
      <w:proofErr w:type="gramEnd"/>
    </w:p>
    <w:p w14:paraId="78051836" w14:textId="77777777" w:rsidR="000134B9" w:rsidRPr="00755D7D" w:rsidRDefault="000134B9" w:rsidP="000450F5">
      <w:pPr>
        <w:pStyle w:val="Copyrightheading"/>
      </w:pPr>
      <w:r w:rsidRPr="00755D7D">
        <w:t>Use of the Coat of Arms</w:t>
      </w:r>
    </w:p>
    <w:p w14:paraId="767ECE78" w14:textId="77777777" w:rsidR="000134B9" w:rsidRPr="00755D7D" w:rsidRDefault="000134B9" w:rsidP="00A70BEC">
      <w:pPr>
        <w:pStyle w:val="Copyrighttext"/>
        <w:spacing w:before="0"/>
      </w:pPr>
      <w:r w:rsidRPr="00755D7D">
        <w:t>The terms under which the Coat of Arms can be used are set out on the It</w:t>
      </w:r>
      <w:r w:rsidR="0044339B" w:rsidRPr="00755D7D">
        <w:t>’</w:t>
      </w:r>
      <w:r w:rsidRPr="00755D7D">
        <w:t xml:space="preserve">s an Honour website (see </w:t>
      </w:r>
      <w:hyperlink r:id="rId18" w:history="1">
        <w:r w:rsidRPr="00755D7D">
          <w:t>www.itsanhonour.gov.au</w:t>
        </w:r>
      </w:hyperlink>
      <w:r w:rsidRPr="00755D7D">
        <w:t>)</w:t>
      </w:r>
      <w:r w:rsidR="00F633C6" w:rsidRPr="00755D7D">
        <w:t>.</w:t>
      </w:r>
    </w:p>
    <w:p w14:paraId="79C3BF5C" w14:textId="77777777" w:rsidR="000134B9" w:rsidRPr="00755D7D" w:rsidRDefault="000134B9" w:rsidP="000450F5">
      <w:pPr>
        <w:pStyle w:val="Copyrightheading"/>
      </w:pPr>
      <w:r w:rsidRPr="00755D7D">
        <w:t xml:space="preserve">Other </w:t>
      </w:r>
      <w:r w:rsidR="009C1E76">
        <w:t>u</w:t>
      </w:r>
      <w:r w:rsidRPr="00755D7D">
        <w:t>ses</w:t>
      </w:r>
    </w:p>
    <w:p w14:paraId="659130AB" w14:textId="77777777" w:rsidR="000134B9" w:rsidRPr="00755D7D" w:rsidRDefault="009C1E76" w:rsidP="00A70BEC">
      <w:pPr>
        <w:pStyle w:val="Copyrighttext"/>
        <w:spacing w:before="0" w:after="0"/>
      </w:pPr>
      <w:r>
        <w:t>E</w:t>
      </w:r>
      <w:r w:rsidR="000134B9" w:rsidRPr="00755D7D">
        <w:t>nquiries regarding this licence and any other use of this document are welcome at:</w:t>
      </w:r>
    </w:p>
    <w:p w14:paraId="0E0500E4" w14:textId="7FC794F5" w:rsidR="000134B9" w:rsidRPr="00755D7D" w:rsidRDefault="000450F5" w:rsidP="000450F5">
      <w:pPr>
        <w:pStyle w:val="Copyrighttext"/>
        <w:spacing w:before="0"/>
        <w:ind w:left="567" w:hanging="567"/>
      </w:pPr>
      <w:r>
        <w:t xml:space="preserve"> </w:t>
      </w:r>
      <w:r>
        <w:tab/>
      </w:r>
      <w:r w:rsidR="000134B9" w:rsidRPr="00755D7D">
        <w:t>Manager</w:t>
      </w:r>
      <w:r w:rsidR="006E37E2" w:rsidRPr="00755D7D">
        <w:br/>
      </w:r>
      <w:r w:rsidR="000134B9" w:rsidRPr="00755D7D">
        <w:t xml:space="preserve">Communications </w:t>
      </w:r>
      <w:r w:rsidR="006E37E2" w:rsidRPr="00755D7D">
        <w:br/>
      </w:r>
      <w:r w:rsidR="000134B9" w:rsidRPr="00755D7D">
        <w:t>The Treasury</w:t>
      </w:r>
      <w:r w:rsidR="006E37E2" w:rsidRPr="00755D7D">
        <w:br/>
      </w:r>
      <w:r w:rsidR="000134B9" w:rsidRPr="00755D7D">
        <w:t xml:space="preserve">Langton Crescent </w:t>
      </w:r>
      <w:r w:rsidR="009C1E76">
        <w:br/>
      </w:r>
      <w:proofErr w:type="spellStart"/>
      <w:r w:rsidR="000134B9" w:rsidRPr="00755D7D">
        <w:t>Parkes</w:t>
      </w:r>
      <w:proofErr w:type="spellEnd"/>
      <w:proofErr w:type="gramStart"/>
      <w:r w:rsidR="00F633C6" w:rsidRPr="00755D7D">
        <w:t>  </w:t>
      </w:r>
      <w:r w:rsidR="000134B9" w:rsidRPr="00755D7D">
        <w:t>ACT</w:t>
      </w:r>
      <w:proofErr w:type="gramEnd"/>
      <w:r w:rsidR="00F633C6" w:rsidRPr="00755D7D">
        <w:t>  </w:t>
      </w:r>
      <w:r w:rsidR="000134B9" w:rsidRPr="00755D7D">
        <w:t>2600</w:t>
      </w:r>
      <w:r w:rsidR="006E37E2" w:rsidRPr="00755D7D">
        <w:br/>
      </w:r>
      <w:r w:rsidR="000134B9" w:rsidRPr="00755D7D">
        <w:t xml:space="preserve">Email: </w:t>
      </w:r>
      <w:hyperlink r:id="rId19" w:history="1">
        <w:r w:rsidR="000134B9" w:rsidRPr="00755D7D">
          <w:t>medialiaison@treasury.gov.au</w:t>
        </w:r>
      </w:hyperlink>
      <w:r w:rsidR="000134B9" w:rsidRPr="00755D7D">
        <w:t xml:space="preserve"> </w:t>
      </w:r>
    </w:p>
    <w:p w14:paraId="70FFEC76" w14:textId="77777777" w:rsidR="00FA27EE" w:rsidRPr="000450F5" w:rsidRDefault="00FA27EE" w:rsidP="004A70FC">
      <w:pPr>
        <w:pStyle w:val="Heading1"/>
        <w:spacing w:after="120"/>
        <w:rPr>
          <w:sz w:val="22"/>
          <w:szCs w:val="22"/>
        </w:rPr>
      </w:pPr>
      <w:bookmarkStart w:id="0" w:name="_Toc395078999"/>
      <w:r w:rsidRPr="000450F5">
        <w:rPr>
          <w:sz w:val="22"/>
          <w:szCs w:val="22"/>
        </w:rPr>
        <w:t>Contact officer</w:t>
      </w:r>
      <w:bookmarkEnd w:id="0"/>
    </w:p>
    <w:p w14:paraId="251F6F91" w14:textId="77777777" w:rsidR="00FA27EE" w:rsidRPr="00755D7D" w:rsidRDefault="00FA27EE" w:rsidP="00A70BEC">
      <w:pPr>
        <w:pStyle w:val="Copyrighttext"/>
        <w:spacing w:before="60" w:after="60"/>
      </w:pPr>
      <w:r w:rsidRPr="00755D7D">
        <w:t xml:space="preserve">The contact officer for this annual report is </w:t>
      </w:r>
    </w:p>
    <w:p w14:paraId="4207DB87" w14:textId="77777777" w:rsidR="00FA27EE" w:rsidRPr="00755D7D" w:rsidRDefault="00FA27EE" w:rsidP="00A70BEC">
      <w:pPr>
        <w:pStyle w:val="Copyrighttext"/>
        <w:spacing w:before="60" w:after="60"/>
        <w:ind w:left="567"/>
      </w:pPr>
      <w:r w:rsidRPr="00755D7D">
        <w:t>The Registrar</w:t>
      </w:r>
      <w:r w:rsidRPr="00755D7D">
        <w:br/>
        <w:t xml:space="preserve">Mr Gary Hoare </w:t>
      </w:r>
      <w:r w:rsidRPr="00755D7D">
        <w:br/>
        <w:t>GPO Box 3731</w:t>
      </w:r>
      <w:r w:rsidRPr="00755D7D">
        <w:br/>
        <w:t>SYDNEY</w:t>
      </w:r>
      <w:proofErr w:type="gramStart"/>
      <w:r w:rsidRPr="00755D7D">
        <w:t>  NSW</w:t>
      </w:r>
      <w:proofErr w:type="gramEnd"/>
      <w:r w:rsidRPr="00755D7D">
        <w:t>  2001</w:t>
      </w:r>
    </w:p>
    <w:p w14:paraId="427D9951" w14:textId="77777777" w:rsidR="00107688" w:rsidRDefault="00FA27EE" w:rsidP="000450F5">
      <w:pPr>
        <w:pStyle w:val="Copyrighttext"/>
        <w:ind w:left="567"/>
        <w:sectPr w:rsidR="00107688" w:rsidSect="000450F5">
          <w:type w:val="evenPage"/>
          <w:pgSz w:w="11907" w:h="16834" w:code="9"/>
          <w:pgMar w:top="2466" w:right="2098" w:bottom="2466" w:left="2098" w:header="1899" w:footer="1899" w:gutter="0"/>
          <w:pgNumType w:fmt="lowerRoman" w:start="1"/>
          <w:cols w:space="720"/>
          <w:docGrid w:linePitch="326"/>
        </w:sectPr>
      </w:pPr>
      <w:r w:rsidRPr="00755D7D">
        <w:t>Phone: (02) 9911 2970</w:t>
      </w:r>
      <w:r w:rsidR="004A70FC">
        <w:t xml:space="preserve">; </w:t>
      </w:r>
      <w:r w:rsidRPr="00755D7D">
        <w:t>Facsimile: (02) 9911 2975</w:t>
      </w:r>
      <w:r w:rsidRPr="00755D7D">
        <w:br/>
        <w:t xml:space="preserve">Email: </w:t>
      </w:r>
      <w:hyperlink r:id="rId20" w:history="1">
        <w:r w:rsidRPr="00755D7D">
          <w:rPr>
            <w:rStyle w:val="Hyperlink"/>
          </w:rPr>
          <w:t>gary.hoare@caldb.gov.au</w:t>
        </w:r>
      </w:hyperlink>
      <w:r w:rsidRPr="00755D7D">
        <w:rPr>
          <w:rStyle w:val="Hyperlink"/>
        </w:rPr>
        <w:br/>
      </w:r>
      <w:r w:rsidRPr="00755D7D">
        <w:t xml:space="preserve">Website: </w:t>
      </w:r>
      <w:hyperlink r:id="rId21" w:history="1">
        <w:r w:rsidRPr="00755D7D">
          <w:rPr>
            <w:rStyle w:val="Hyperlink"/>
          </w:rPr>
          <w:t>www.caldb.gov.au</w:t>
        </w:r>
      </w:hyperlink>
    </w:p>
    <w:p w14:paraId="3F4DC0BC" w14:textId="77777777" w:rsidR="00F607A8" w:rsidRPr="00755D7D" w:rsidRDefault="00A77698" w:rsidP="000450F5">
      <w:pPr>
        <w:pStyle w:val="ContentsHeading"/>
        <w:spacing w:after="240"/>
        <w:jc w:val="center"/>
        <w:rPr>
          <w:lang w:eastAsia="en-US"/>
        </w:rPr>
      </w:pPr>
      <w:r w:rsidRPr="00755D7D">
        <w:rPr>
          <w:lang w:eastAsia="en-US"/>
        </w:rPr>
        <w:lastRenderedPageBreak/>
        <w:t>Table of Contents</w:t>
      </w:r>
    </w:p>
    <w:p w14:paraId="557513B1" w14:textId="77777777" w:rsidR="00855686" w:rsidRPr="000450F5" w:rsidRDefault="00487C7E">
      <w:pPr>
        <w:pStyle w:val="TOC1"/>
        <w:rPr>
          <w:rFonts w:ascii="Calibri" w:hAnsi="Calibri"/>
          <w:b w:val="0"/>
          <w:smallCaps w:val="0"/>
          <w:noProof/>
          <w:color w:val="auto"/>
          <w:sz w:val="22"/>
        </w:rPr>
      </w:pPr>
      <w:r w:rsidRPr="00755D7D">
        <w:rPr>
          <w:sz w:val="26"/>
        </w:rPr>
        <w:fldChar w:fldCharType="begin"/>
      </w:r>
      <w:r w:rsidRPr="00755D7D">
        <w:instrText xml:space="preserve"> TOC \o "1-3" \h \z \u </w:instrText>
      </w:r>
      <w:r w:rsidRPr="00755D7D">
        <w:rPr>
          <w:sz w:val="26"/>
        </w:rPr>
        <w:fldChar w:fldCharType="separate"/>
      </w:r>
      <w:hyperlink w:anchor="_Toc395078999" w:history="1">
        <w:r w:rsidR="00855686" w:rsidRPr="00FC1AC2">
          <w:rPr>
            <w:rStyle w:val="Hyperlink"/>
            <w:noProof/>
          </w:rPr>
          <w:t>Contact officer</w:t>
        </w:r>
        <w:r w:rsidR="00855686">
          <w:rPr>
            <w:noProof/>
            <w:webHidden/>
          </w:rPr>
          <w:tab/>
        </w:r>
        <w:r w:rsidR="00855686">
          <w:rPr>
            <w:noProof/>
            <w:webHidden/>
          </w:rPr>
          <w:fldChar w:fldCharType="begin"/>
        </w:r>
        <w:r w:rsidR="00855686">
          <w:rPr>
            <w:noProof/>
            <w:webHidden/>
          </w:rPr>
          <w:instrText xml:space="preserve"> PAGEREF _Toc395078999 \h </w:instrText>
        </w:r>
        <w:r w:rsidR="00855686">
          <w:rPr>
            <w:noProof/>
            <w:webHidden/>
          </w:rPr>
        </w:r>
        <w:r w:rsidR="00855686">
          <w:rPr>
            <w:noProof/>
            <w:webHidden/>
          </w:rPr>
          <w:fldChar w:fldCharType="separate"/>
        </w:r>
        <w:r w:rsidR="001F11A4">
          <w:rPr>
            <w:noProof/>
            <w:webHidden/>
          </w:rPr>
          <w:t>ii</w:t>
        </w:r>
        <w:r w:rsidR="00855686">
          <w:rPr>
            <w:noProof/>
            <w:webHidden/>
          </w:rPr>
          <w:fldChar w:fldCharType="end"/>
        </w:r>
      </w:hyperlink>
    </w:p>
    <w:p w14:paraId="07814BA4" w14:textId="77777777" w:rsidR="00855686" w:rsidRPr="000450F5" w:rsidRDefault="00FF501F">
      <w:pPr>
        <w:pStyle w:val="TOC1"/>
        <w:rPr>
          <w:rFonts w:ascii="Calibri" w:hAnsi="Calibri"/>
          <w:b w:val="0"/>
          <w:smallCaps w:val="0"/>
          <w:noProof/>
          <w:color w:val="auto"/>
          <w:sz w:val="22"/>
        </w:rPr>
      </w:pPr>
      <w:hyperlink w:anchor="_Toc395079000" w:history="1">
        <w:r w:rsidR="00855686" w:rsidRPr="00FC1AC2">
          <w:rPr>
            <w:rStyle w:val="Hyperlink"/>
            <w:noProof/>
          </w:rPr>
          <w:t>Chairperson’s Review</w:t>
        </w:r>
        <w:r w:rsidR="00855686">
          <w:rPr>
            <w:noProof/>
            <w:webHidden/>
          </w:rPr>
          <w:tab/>
        </w:r>
        <w:r w:rsidR="00855686">
          <w:rPr>
            <w:noProof/>
            <w:webHidden/>
          </w:rPr>
          <w:fldChar w:fldCharType="begin"/>
        </w:r>
        <w:r w:rsidR="00855686">
          <w:rPr>
            <w:noProof/>
            <w:webHidden/>
          </w:rPr>
          <w:instrText xml:space="preserve"> PAGEREF _Toc395079000 \h </w:instrText>
        </w:r>
        <w:r w:rsidR="00855686">
          <w:rPr>
            <w:noProof/>
            <w:webHidden/>
          </w:rPr>
        </w:r>
        <w:r w:rsidR="00855686">
          <w:rPr>
            <w:noProof/>
            <w:webHidden/>
          </w:rPr>
          <w:fldChar w:fldCharType="separate"/>
        </w:r>
        <w:r w:rsidR="001F11A4">
          <w:rPr>
            <w:noProof/>
            <w:webHidden/>
          </w:rPr>
          <w:t>1</w:t>
        </w:r>
        <w:r w:rsidR="00855686">
          <w:rPr>
            <w:noProof/>
            <w:webHidden/>
          </w:rPr>
          <w:fldChar w:fldCharType="end"/>
        </w:r>
      </w:hyperlink>
    </w:p>
    <w:p w14:paraId="063F79FF" w14:textId="77777777" w:rsidR="00855686" w:rsidRPr="000450F5" w:rsidRDefault="00FF501F">
      <w:pPr>
        <w:pStyle w:val="TOC1"/>
        <w:rPr>
          <w:rFonts w:ascii="Calibri" w:hAnsi="Calibri"/>
          <w:b w:val="0"/>
          <w:smallCaps w:val="0"/>
          <w:noProof/>
          <w:color w:val="auto"/>
          <w:sz w:val="22"/>
        </w:rPr>
      </w:pPr>
      <w:hyperlink w:anchor="_Toc395079001" w:history="1">
        <w:r w:rsidR="00855686" w:rsidRPr="00FC1AC2">
          <w:rPr>
            <w:rStyle w:val="Hyperlink"/>
            <w:noProof/>
          </w:rPr>
          <w:t>Board Overview</w:t>
        </w:r>
        <w:r w:rsidR="00855686">
          <w:rPr>
            <w:noProof/>
            <w:webHidden/>
          </w:rPr>
          <w:tab/>
        </w:r>
        <w:r w:rsidR="00855686">
          <w:rPr>
            <w:noProof/>
            <w:webHidden/>
          </w:rPr>
          <w:fldChar w:fldCharType="begin"/>
        </w:r>
        <w:r w:rsidR="00855686">
          <w:rPr>
            <w:noProof/>
            <w:webHidden/>
          </w:rPr>
          <w:instrText xml:space="preserve"> PAGEREF _Toc395079001 \h </w:instrText>
        </w:r>
        <w:r w:rsidR="00855686">
          <w:rPr>
            <w:noProof/>
            <w:webHidden/>
          </w:rPr>
        </w:r>
        <w:r w:rsidR="00855686">
          <w:rPr>
            <w:noProof/>
            <w:webHidden/>
          </w:rPr>
          <w:fldChar w:fldCharType="separate"/>
        </w:r>
        <w:r w:rsidR="001F11A4">
          <w:rPr>
            <w:noProof/>
            <w:webHidden/>
          </w:rPr>
          <w:t>3</w:t>
        </w:r>
        <w:r w:rsidR="00855686">
          <w:rPr>
            <w:noProof/>
            <w:webHidden/>
          </w:rPr>
          <w:fldChar w:fldCharType="end"/>
        </w:r>
      </w:hyperlink>
    </w:p>
    <w:p w14:paraId="4C37CD94" w14:textId="77777777" w:rsidR="00855686" w:rsidRPr="000450F5" w:rsidRDefault="00FF501F">
      <w:pPr>
        <w:pStyle w:val="TOC2"/>
        <w:rPr>
          <w:rFonts w:ascii="Calibri" w:hAnsi="Calibri"/>
          <w:noProof/>
          <w:color w:val="auto"/>
          <w:szCs w:val="22"/>
        </w:rPr>
      </w:pPr>
      <w:hyperlink w:anchor="_Toc395079002" w:history="1">
        <w:r w:rsidR="00855686" w:rsidRPr="00FC1AC2">
          <w:rPr>
            <w:rStyle w:val="Hyperlink"/>
            <w:noProof/>
          </w:rPr>
          <w:t>Role and functions</w:t>
        </w:r>
        <w:r w:rsidR="00855686">
          <w:rPr>
            <w:noProof/>
            <w:webHidden/>
          </w:rPr>
          <w:tab/>
        </w:r>
        <w:r w:rsidR="00855686">
          <w:rPr>
            <w:noProof/>
            <w:webHidden/>
          </w:rPr>
          <w:fldChar w:fldCharType="begin"/>
        </w:r>
        <w:r w:rsidR="00855686">
          <w:rPr>
            <w:noProof/>
            <w:webHidden/>
          </w:rPr>
          <w:instrText xml:space="preserve"> PAGEREF _Toc395079002 \h </w:instrText>
        </w:r>
        <w:r w:rsidR="00855686">
          <w:rPr>
            <w:noProof/>
            <w:webHidden/>
          </w:rPr>
        </w:r>
        <w:r w:rsidR="00855686">
          <w:rPr>
            <w:noProof/>
            <w:webHidden/>
          </w:rPr>
          <w:fldChar w:fldCharType="separate"/>
        </w:r>
        <w:r w:rsidR="001F11A4">
          <w:rPr>
            <w:noProof/>
            <w:webHidden/>
          </w:rPr>
          <w:t>3</w:t>
        </w:r>
        <w:r w:rsidR="00855686">
          <w:rPr>
            <w:noProof/>
            <w:webHidden/>
          </w:rPr>
          <w:fldChar w:fldCharType="end"/>
        </w:r>
      </w:hyperlink>
    </w:p>
    <w:p w14:paraId="13D68B79" w14:textId="77777777" w:rsidR="00855686" w:rsidRPr="000450F5" w:rsidRDefault="00FF501F">
      <w:pPr>
        <w:pStyle w:val="TOC2"/>
        <w:rPr>
          <w:rFonts w:ascii="Calibri" w:hAnsi="Calibri"/>
          <w:noProof/>
          <w:color w:val="auto"/>
          <w:szCs w:val="22"/>
        </w:rPr>
      </w:pPr>
      <w:hyperlink w:anchor="_Toc395079003" w:history="1">
        <w:r w:rsidR="00855686" w:rsidRPr="00FC1AC2">
          <w:rPr>
            <w:rStyle w:val="Hyperlink"/>
            <w:noProof/>
          </w:rPr>
          <w:t>Constitution of CALDB and current Board membership</w:t>
        </w:r>
        <w:r w:rsidR="00855686">
          <w:rPr>
            <w:noProof/>
            <w:webHidden/>
          </w:rPr>
          <w:tab/>
        </w:r>
        <w:r w:rsidR="00855686">
          <w:rPr>
            <w:noProof/>
            <w:webHidden/>
          </w:rPr>
          <w:fldChar w:fldCharType="begin"/>
        </w:r>
        <w:r w:rsidR="00855686">
          <w:rPr>
            <w:noProof/>
            <w:webHidden/>
          </w:rPr>
          <w:instrText xml:space="preserve"> PAGEREF _Toc395079003 \h </w:instrText>
        </w:r>
        <w:r w:rsidR="00855686">
          <w:rPr>
            <w:noProof/>
            <w:webHidden/>
          </w:rPr>
        </w:r>
        <w:r w:rsidR="00855686">
          <w:rPr>
            <w:noProof/>
            <w:webHidden/>
          </w:rPr>
          <w:fldChar w:fldCharType="separate"/>
        </w:r>
        <w:r w:rsidR="001F11A4">
          <w:rPr>
            <w:noProof/>
            <w:webHidden/>
          </w:rPr>
          <w:t>4</w:t>
        </w:r>
        <w:r w:rsidR="00855686">
          <w:rPr>
            <w:noProof/>
            <w:webHidden/>
          </w:rPr>
          <w:fldChar w:fldCharType="end"/>
        </w:r>
      </w:hyperlink>
    </w:p>
    <w:p w14:paraId="28B1593B" w14:textId="77777777" w:rsidR="00855686" w:rsidRPr="000450F5" w:rsidRDefault="00FF501F">
      <w:pPr>
        <w:pStyle w:val="TOC1"/>
        <w:rPr>
          <w:rFonts w:ascii="Calibri" w:hAnsi="Calibri"/>
          <w:b w:val="0"/>
          <w:smallCaps w:val="0"/>
          <w:noProof/>
          <w:color w:val="auto"/>
          <w:sz w:val="22"/>
        </w:rPr>
      </w:pPr>
      <w:hyperlink w:anchor="_Toc395079004" w:history="1">
        <w:r w:rsidR="00855686" w:rsidRPr="00FC1AC2">
          <w:rPr>
            <w:rStyle w:val="Hyperlink"/>
            <w:noProof/>
          </w:rPr>
          <w:t>Operational information 2013–14</w:t>
        </w:r>
        <w:r w:rsidR="00855686">
          <w:rPr>
            <w:noProof/>
            <w:webHidden/>
          </w:rPr>
          <w:tab/>
        </w:r>
        <w:r w:rsidR="00855686">
          <w:rPr>
            <w:noProof/>
            <w:webHidden/>
          </w:rPr>
          <w:fldChar w:fldCharType="begin"/>
        </w:r>
        <w:r w:rsidR="00855686">
          <w:rPr>
            <w:noProof/>
            <w:webHidden/>
          </w:rPr>
          <w:instrText xml:space="preserve"> PAGEREF _Toc395079004 \h </w:instrText>
        </w:r>
        <w:r w:rsidR="00855686">
          <w:rPr>
            <w:noProof/>
            <w:webHidden/>
          </w:rPr>
        </w:r>
        <w:r w:rsidR="00855686">
          <w:rPr>
            <w:noProof/>
            <w:webHidden/>
          </w:rPr>
          <w:fldChar w:fldCharType="separate"/>
        </w:r>
        <w:r w:rsidR="001F11A4">
          <w:rPr>
            <w:noProof/>
            <w:webHidden/>
          </w:rPr>
          <w:t>5</w:t>
        </w:r>
        <w:r w:rsidR="00855686">
          <w:rPr>
            <w:noProof/>
            <w:webHidden/>
          </w:rPr>
          <w:fldChar w:fldCharType="end"/>
        </w:r>
      </w:hyperlink>
    </w:p>
    <w:p w14:paraId="36B8EFB8" w14:textId="77777777" w:rsidR="00855686" w:rsidRPr="000450F5" w:rsidRDefault="00FF501F">
      <w:pPr>
        <w:pStyle w:val="TOC2"/>
        <w:rPr>
          <w:rFonts w:ascii="Calibri" w:hAnsi="Calibri"/>
          <w:noProof/>
          <w:color w:val="auto"/>
          <w:szCs w:val="22"/>
        </w:rPr>
      </w:pPr>
      <w:hyperlink w:anchor="_Toc395079005" w:history="1">
        <w:r w:rsidR="00855686" w:rsidRPr="00FC1AC2">
          <w:rPr>
            <w:rStyle w:val="Hyperlink"/>
            <w:noProof/>
          </w:rPr>
          <w:t>Registrar</w:t>
        </w:r>
        <w:r w:rsidR="00855686">
          <w:rPr>
            <w:noProof/>
            <w:webHidden/>
          </w:rPr>
          <w:tab/>
        </w:r>
        <w:r w:rsidR="00855686">
          <w:rPr>
            <w:noProof/>
            <w:webHidden/>
          </w:rPr>
          <w:fldChar w:fldCharType="begin"/>
        </w:r>
        <w:r w:rsidR="00855686">
          <w:rPr>
            <w:noProof/>
            <w:webHidden/>
          </w:rPr>
          <w:instrText xml:space="preserve"> PAGEREF _Toc395079005 \h </w:instrText>
        </w:r>
        <w:r w:rsidR="00855686">
          <w:rPr>
            <w:noProof/>
            <w:webHidden/>
          </w:rPr>
        </w:r>
        <w:r w:rsidR="00855686">
          <w:rPr>
            <w:noProof/>
            <w:webHidden/>
          </w:rPr>
          <w:fldChar w:fldCharType="separate"/>
        </w:r>
        <w:r w:rsidR="001F11A4">
          <w:rPr>
            <w:noProof/>
            <w:webHidden/>
          </w:rPr>
          <w:t>5</w:t>
        </w:r>
        <w:r w:rsidR="00855686">
          <w:rPr>
            <w:noProof/>
            <w:webHidden/>
          </w:rPr>
          <w:fldChar w:fldCharType="end"/>
        </w:r>
      </w:hyperlink>
    </w:p>
    <w:p w14:paraId="6FD14407" w14:textId="77777777" w:rsidR="00855686" w:rsidRPr="000450F5" w:rsidRDefault="00FF501F">
      <w:pPr>
        <w:pStyle w:val="TOC2"/>
        <w:rPr>
          <w:rFonts w:ascii="Calibri" w:hAnsi="Calibri"/>
          <w:noProof/>
          <w:color w:val="auto"/>
          <w:szCs w:val="22"/>
        </w:rPr>
      </w:pPr>
      <w:hyperlink w:anchor="_Toc395079006" w:history="1">
        <w:r w:rsidR="00855686" w:rsidRPr="00FC1AC2">
          <w:rPr>
            <w:rStyle w:val="Hyperlink"/>
            <w:noProof/>
          </w:rPr>
          <w:t>Premises</w:t>
        </w:r>
        <w:r w:rsidR="00855686">
          <w:rPr>
            <w:noProof/>
            <w:webHidden/>
          </w:rPr>
          <w:tab/>
        </w:r>
        <w:r w:rsidR="00855686">
          <w:rPr>
            <w:noProof/>
            <w:webHidden/>
          </w:rPr>
          <w:fldChar w:fldCharType="begin"/>
        </w:r>
        <w:r w:rsidR="00855686">
          <w:rPr>
            <w:noProof/>
            <w:webHidden/>
          </w:rPr>
          <w:instrText xml:space="preserve"> PAGEREF _Toc395079006 \h </w:instrText>
        </w:r>
        <w:r w:rsidR="00855686">
          <w:rPr>
            <w:noProof/>
            <w:webHidden/>
          </w:rPr>
        </w:r>
        <w:r w:rsidR="00855686">
          <w:rPr>
            <w:noProof/>
            <w:webHidden/>
          </w:rPr>
          <w:fldChar w:fldCharType="separate"/>
        </w:r>
        <w:r w:rsidR="001F11A4">
          <w:rPr>
            <w:noProof/>
            <w:webHidden/>
          </w:rPr>
          <w:t>5</w:t>
        </w:r>
        <w:r w:rsidR="00855686">
          <w:rPr>
            <w:noProof/>
            <w:webHidden/>
          </w:rPr>
          <w:fldChar w:fldCharType="end"/>
        </w:r>
      </w:hyperlink>
    </w:p>
    <w:p w14:paraId="4A2BA6BF" w14:textId="77777777" w:rsidR="00855686" w:rsidRPr="000450F5" w:rsidRDefault="00FF501F">
      <w:pPr>
        <w:pStyle w:val="TOC2"/>
        <w:rPr>
          <w:rFonts w:ascii="Calibri" w:hAnsi="Calibri"/>
          <w:noProof/>
          <w:color w:val="auto"/>
          <w:szCs w:val="22"/>
        </w:rPr>
      </w:pPr>
      <w:hyperlink w:anchor="_Toc395079007" w:history="1">
        <w:r w:rsidR="00855686" w:rsidRPr="00FC1AC2">
          <w:rPr>
            <w:rStyle w:val="Hyperlink"/>
            <w:noProof/>
          </w:rPr>
          <w:t>Applications received by CALDB in the reporting year 2013–14</w:t>
        </w:r>
        <w:r w:rsidR="00855686">
          <w:rPr>
            <w:noProof/>
            <w:webHidden/>
          </w:rPr>
          <w:tab/>
        </w:r>
        <w:r w:rsidR="00855686">
          <w:rPr>
            <w:noProof/>
            <w:webHidden/>
          </w:rPr>
          <w:fldChar w:fldCharType="begin"/>
        </w:r>
        <w:r w:rsidR="00855686">
          <w:rPr>
            <w:noProof/>
            <w:webHidden/>
          </w:rPr>
          <w:instrText xml:space="preserve"> PAGEREF _Toc395079007 \h </w:instrText>
        </w:r>
        <w:r w:rsidR="00855686">
          <w:rPr>
            <w:noProof/>
            <w:webHidden/>
          </w:rPr>
        </w:r>
        <w:r w:rsidR="00855686">
          <w:rPr>
            <w:noProof/>
            <w:webHidden/>
          </w:rPr>
          <w:fldChar w:fldCharType="separate"/>
        </w:r>
        <w:r w:rsidR="001F11A4">
          <w:rPr>
            <w:noProof/>
            <w:webHidden/>
          </w:rPr>
          <w:t>6</w:t>
        </w:r>
        <w:r w:rsidR="00855686">
          <w:rPr>
            <w:noProof/>
            <w:webHidden/>
          </w:rPr>
          <w:fldChar w:fldCharType="end"/>
        </w:r>
      </w:hyperlink>
    </w:p>
    <w:p w14:paraId="07A8BDF0" w14:textId="77777777" w:rsidR="00855686" w:rsidRPr="000450F5" w:rsidRDefault="00FF501F">
      <w:pPr>
        <w:pStyle w:val="TOC2"/>
        <w:rPr>
          <w:rFonts w:ascii="Calibri" w:hAnsi="Calibri"/>
          <w:noProof/>
          <w:color w:val="auto"/>
          <w:szCs w:val="22"/>
        </w:rPr>
      </w:pPr>
      <w:hyperlink w:anchor="_Toc395079008" w:history="1">
        <w:r w:rsidR="00855686" w:rsidRPr="00FC1AC2">
          <w:rPr>
            <w:rStyle w:val="Hyperlink"/>
            <w:noProof/>
          </w:rPr>
          <w:t>Hearing days during the reporting year</w:t>
        </w:r>
        <w:r w:rsidR="00855686">
          <w:rPr>
            <w:noProof/>
            <w:webHidden/>
          </w:rPr>
          <w:tab/>
        </w:r>
        <w:r w:rsidR="00855686">
          <w:rPr>
            <w:noProof/>
            <w:webHidden/>
          </w:rPr>
          <w:fldChar w:fldCharType="begin"/>
        </w:r>
        <w:r w:rsidR="00855686">
          <w:rPr>
            <w:noProof/>
            <w:webHidden/>
          </w:rPr>
          <w:instrText xml:space="preserve"> PAGEREF _Toc395079008 \h </w:instrText>
        </w:r>
        <w:r w:rsidR="00855686">
          <w:rPr>
            <w:noProof/>
            <w:webHidden/>
          </w:rPr>
        </w:r>
        <w:r w:rsidR="00855686">
          <w:rPr>
            <w:noProof/>
            <w:webHidden/>
          </w:rPr>
          <w:fldChar w:fldCharType="separate"/>
        </w:r>
        <w:r w:rsidR="001F11A4">
          <w:rPr>
            <w:noProof/>
            <w:webHidden/>
          </w:rPr>
          <w:t>6</w:t>
        </w:r>
        <w:r w:rsidR="00855686">
          <w:rPr>
            <w:noProof/>
            <w:webHidden/>
          </w:rPr>
          <w:fldChar w:fldCharType="end"/>
        </w:r>
      </w:hyperlink>
    </w:p>
    <w:p w14:paraId="6F8B5DC7" w14:textId="77777777" w:rsidR="00855686" w:rsidRPr="000450F5" w:rsidRDefault="00FF501F">
      <w:pPr>
        <w:pStyle w:val="TOC2"/>
        <w:rPr>
          <w:rFonts w:ascii="Calibri" w:hAnsi="Calibri"/>
          <w:noProof/>
          <w:color w:val="auto"/>
          <w:szCs w:val="22"/>
        </w:rPr>
      </w:pPr>
      <w:hyperlink w:anchor="_Toc395079009" w:history="1">
        <w:r w:rsidR="00855686" w:rsidRPr="00FC1AC2">
          <w:rPr>
            <w:rStyle w:val="Hyperlink"/>
            <w:noProof/>
          </w:rPr>
          <w:t>Results by nature of sanction</w:t>
        </w:r>
        <w:r w:rsidR="00855686">
          <w:rPr>
            <w:noProof/>
            <w:webHidden/>
          </w:rPr>
          <w:tab/>
        </w:r>
        <w:r w:rsidR="00855686">
          <w:rPr>
            <w:noProof/>
            <w:webHidden/>
          </w:rPr>
          <w:fldChar w:fldCharType="begin"/>
        </w:r>
        <w:r w:rsidR="00855686">
          <w:rPr>
            <w:noProof/>
            <w:webHidden/>
          </w:rPr>
          <w:instrText xml:space="preserve"> PAGEREF _Toc395079009 \h </w:instrText>
        </w:r>
        <w:r w:rsidR="00855686">
          <w:rPr>
            <w:noProof/>
            <w:webHidden/>
          </w:rPr>
        </w:r>
        <w:r w:rsidR="00855686">
          <w:rPr>
            <w:noProof/>
            <w:webHidden/>
          </w:rPr>
          <w:fldChar w:fldCharType="separate"/>
        </w:r>
        <w:r w:rsidR="001F11A4">
          <w:rPr>
            <w:noProof/>
            <w:webHidden/>
          </w:rPr>
          <w:t>7</w:t>
        </w:r>
        <w:r w:rsidR="00855686">
          <w:rPr>
            <w:noProof/>
            <w:webHidden/>
          </w:rPr>
          <w:fldChar w:fldCharType="end"/>
        </w:r>
      </w:hyperlink>
    </w:p>
    <w:p w14:paraId="509980F8" w14:textId="77777777" w:rsidR="00855686" w:rsidRPr="000450F5" w:rsidRDefault="00FF501F">
      <w:pPr>
        <w:pStyle w:val="TOC2"/>
        <w:rPr>
          <w:rFonts w:ascii="Calibri" w:hAnsi="Calibri"/>
          <w:noProof/>
          <w:color w:val="auto"/>
          <w:szCs w:val="22"/>
        </w:rPr>
      </w:pPr>
      <w:hyperlink w:anchor="_Toc395079010" w:history="1">
        <w:r w:rsidR="00855686" w:rsidRPr="00FC1AC2">
          <w:rPr>
            <w:rStyle w:val="Hyperlink"/>
            <w:noProof/>
          </w:rPr>
          <w:t>Publication of CALDB decisions</w:t>
        </w:r>
        <w:r w:rsidR="00855686">
          <w:rPr>
            <w:noProof/>
            <w:webHidden/>
          </w:rPr>
          <w:tab/>
        </w:r>
        <w:r w:rsidR="00855686">
          <w:rPr>
            <w:noProof/>
            <w:webHidden/>
          </w:rPr>
          <w:fldChar w:fldCharType="begin"/>
        </w:r>
        <w:r w:rsidR="00855686">
          <w:rPr>
            <w:noProof/>
            <w:webHidden/>
          </w:rPr>
          <w:instrText xml:space="preserve"> PAGEREF _Toc395079010 \h </w:instrText>
        </w:r>
        <w:r w:rsidR="00855686">
          <w:rPr>
            <w:noProof/>
            <w:webHidden/>
          </w:rPr>
        </w:r>
        <w:r w:rsidR="00855686">
          <w:rPr>
            <w:noProof/>
            <w:webHidden/>
          </w:rPr>
          <w:fldChar w:fldCharType="separate"/>
        </w:r>
        <w:r w:rsidR="001F11A4">
          <w:rPr>
            <w:noProof/>
            <w:webHidden/>
          </w:rPr>
          <w:t>7</w:t>
        </w:r>
        <w:r w:rsidR="00855686">
          <w:rPr>
            <w:noProof/>
            <w:webHidden/>
          </w:rPr>
          <w:fldChar w:fldCharType="end"/>
        </w:r>
      </w:hyperlink>
    </w:p>
    <w:p w14:paraId="2BF596AB" w14:textId="77777777" w:rsidR="00855686" w:rsidRPr="000450F5" w:rsidRDefault="00FF501F">
      <w:pPr>
        <w:pStyle w:val="TOC2"/>
        <w:rPr>
          <w:rFonts w:ascii="Calibri" w:hAnsi="Calibri"/>
          <w:noProof/>
          <w:color w:val="auto"/>
          <w:szCs w:val="22"/>
        </w:rPr>
      </w:pPr>
      <w:hyperlink w:anchor="_Toc395079011" w:history="1">
        <w:r w:rsidR="00855686" w:rsidRPr="00FC1AC2">
          <w:rPr>
            <w:rStyle w:val="Hyperlink"/>
            <w:noProof/>
          </w:rPr>
          <w:t>Costs orders by CALDB</w:t>
        </w:r>
        <w:r w:rsidR="00855686">
          <w:rPr>
            <w:noProof/>
            <w:webHidden/>
          </w:rPr>
          <w:tab/>
        </w:r>
        <w:r w:rsidR="00855686">
          <w:rPr>
            <w:noProof/>
            <w:webHidden/>
          </w:rPr>
          <w:fldChar w:fldCharType="begin"/>
        </w:r>
        <w:r w:rsidR="00855686">
          <w:rPr>
            <w:noProof/>
            <w:webHidden/>
          </w:rPr>
          <w:instrText xml:space="preserve"> PAGEREF _Toc395079011 \h </w:instrText>
        </w:r>
        <w:r w:rsidR="00855686">
          <w:rPr>
            <w:noProof/>
            <w:webHidden/>
          </w:rPr>
        </w:r>
        <w:r w:rsidR="00855686">
          <w:rPr>
            <w:noProof/>
            <w:webHidden/>
          </w:rPr>
          <w:fldChar w:fldCharType="separate"/>
        </w:r>
        <w:r w:rsidR="001F11A4">
          <w:rPr>
            <w:noProof/>
            <w:webHidden/>
          </w:rPr>
          <w:t>8</w:t>
        </w:r>
        <w:r w:rsidR="00855686">
          <w:rPr>
            <w:noProof/>
            <w:webHidden/>
          </w:rPr>
          <w:fldChar w:fldCharType="end"/>
        </w:r>
      </w:hyperlink>
    </w:p>
    <w:p w14:paraId="07A1D92B" w14:textId="77777777" w:rsidR="00855686" w:rsidRPr="000450F5" w:rsidRDefault="00FF501F">
      <w:pPr>
        <w:pStyle w:val="TOC2"/>
        <w:rPr>
          <w:rFonts w:ascii="Calibri" w:hAnsi="Calibri"/>
          <w:noProof/>
          <w:color w:val="auto"/>
          <w:szCs w:val="22"/>
        </w:rPr>
      </w:pPr>
      <w:hyperlink w:anchor="_Toc395079012" w:history="1">
        <w:r w:rsidR="00855686" w:rsidRPr="00FC1AC2">
          <w:rPr>
            <w:rStyle w:val="Hyperlink"/>
            <w:noProof/>
          </w:rPr>
          <w:t>Review of CALDB decisions</w:t>
        </w:r>
        <w:r w:rsidR="00855686">
          <w:rPr>
            <w:noProof/>
            <w:webHidden/>
          </w:rPr>
          <w:tab/>
        </w:r>
        <w:r w:rsidR="00855686">
          <w:rPr>
            <w:noProof/>
            <w:webHidden/>
          </w:rPr>
          <w:fldChar w:fldCharType="begin"/>
        </w:r>
        <w:r w:rsidR="00855686">
          <w:rPr>
            <w:noProof/>
            <w:webHidden/>
          </w:rPr>
          <w:instrText xml:space="preserve"> PAGEREF _Toc395079012 \h </w:instrText>
        </w:r>
        <w:r w:rsidR="00855686">
          <w:rPr>
            <w:noProof/>
            <w:webHidden/>
          </w:rPr>
        </w:r>
        <w:r w:rsidR="00855686">
          <w:rPr>
            <w:noProof/>
            <w:webHidden/>
          </w:rPr>
          <w:fldChar w:fldCharType="separate"/>
        </w:r>
        <w:r w:rsidR="001F11A4">
          <w:rPr>
            <w:noProof/>
            <w:webHidden/>
          </w:rPr>
          <w:t>8</w:t>
        </w:r>
        <w:r w:rsidR="00855686">
          <w:rPr>
            <w:noProof/>
            <w:webHidden/>
          </w:rPr>
          <w:fldChar w:fldCharType="end"/>
        </w:r>
      </w:hyperlink>
    </w:p>
    <w:p w14:paraId="6714FF31" w14:textId="77777777" w:rsidR="00855686" w:rsidRPr="000450F5" w:rsidRDefault="00FF501F">
      <w:pPr>
        <w:pStyle w:val="TOC2"/>
        <w:rPr>
          <w:rFonts w:ascii="Calibri" w:hAnsi="Calibri"/>
          <w:noProof/>
          <w:color w:val="auto"/>
          <w:szCs w:val="22"/>
        </w:rPr>
      </w:pPr>
      <w:hyperlink w:anchor="_Toc395079013" w:history="1">
        <w:r w:rsidR="00855686" w:rsidRPr="00FC1AC2">
          <w:rPr>
            <w:rStyle w:val="Hyperlink"/>
            <w:noProof/>
          </w:rPr>
          <w:t>CALDB financial information for reporting year</w:t>
        </w:r>
        <w:r w:rsidR="00855686">
          <w:rPr>
            <w:noProof/>
            <w:webHidden/>
          </w:rPr>
          <w:tab/>
        </w:r>
        <w:r w:rsidR="00855686">
          <w:rPr>
            <w:noProof/>
            <w:webHidden/>
          </w:rPr>
          <w:fldChar w:fldCharType="begin"/>
        </w:r>
        <w:r w:rsidR="00855686">
          <w:rPr>
            <w:noProof/>
            <w:webHidden/>
          </w:rPr>
          <w:instrText xml:space="preserve"> PAGEREF _Toc395079013 \h </w:instrText>
        </w:r>
        <w:r w:rsidR="00855686">
          <w:rPr>
            <w:noProof/>
            <w:webHidden/>
          </w:rPr>
        </w:r>
        <w:r w:rsidR="00855686">
          <w:rPr>
            <w:noProof/>
            <w:webHidden/>
          </w:rPr>
          <w:fldChar w:fldCharType="separate"/>
        </w:r>
        <w:r w:rsidR="001F11A4">
          <w:rPr>
            <w:noProof/>
            <w:webHidden/>
          </w:rPr>
          <w:t>9</w:t>
        </w:r>
        <w:r w:rsidR="00855686">
          <w:rPr>
            <w:noProof/>
            <w:webHidden/>
          </w:rPr>
          <w:fldChar w:fldCharType="end"/>
        </w:r>
      </w:hyperlink>
    </w:p>
    <w:p w14:paraId="2B8ED9F6" w14:textId="77777777" w:rsidR="00855686" w:rsidRPr="000450F5" w:rsidRDefault="00FF501F">
      <w:pPr>
        <w:pStyle w:val="TOC2"/>
        <w:rPr>
          <w:rFonts w:ascii="Calibri" w:hAnsi="Calibri"/>
          <w:noProof/>
          <w:color w:val="auto"/>
          <w:szCs w:val="22"/>
        </w:rPr>
      </w:pPr>
      <w:hyperlink w:anchor="_Toc395079014" w:history="1">
        <w:r w:rsidR="00855686" w:rsidRPr="00FC1AC2">
          <w:rPr>
            <w:rStyle w:val="Hyperlink"/>
            <w:noProof/>
          </w:rPr>
          <w:t>Work health and safety and environmental matters</w:t>
        </w:r>
        <w:r w:rsidR="00855686">
          <w:rPr>
            <w:noProof/>
            <w:webHidden/>
          </w:rPr>
          <w:tab/>
        </w:r>
        <w:r w:rsidR="00855686">
          <w:rPr>
            <w:noProof/>
            <w:webHidden/>
          </w:rPr>
          <w:fldChar w:fldCharType="begin"/>
        </w:r>
        <w:r w:rsidR="00855686">
          <w:rPr>
            <w:noProof/>
            <w:webHidden/>
          </w:rPr>
          <w:instrText xml:space="preserve"> PAGEREF _Toc395079014 \h </w:instrText>
        </w:r>
        <w:r w:rsidR="00855686">
          <w:rPr>
            <w:noProof/>
            <w:webHidden/>
          </w:rPr>
        </w:r>
        <w:r w:rsidR="00855686">
          <w:rPr>
            <w:noProof/>
            <w:webHidden/>
          </w:rPr>
          <w:fldChar w:fldCharType="separate"/>
        </w:r>
        <w:r w:rsidR="001F11A4">
          <w:rPr>
            <w:noProof/>
            <w:webHidden/>
          </w:rPr>
          <w:t>10</w:t>
        </w:r>
        <w:r w:rsidR="00855686">
          <w:rPr>
            <w:noProof/>
            <w:webHidden/>
          </w:rPr>
          <w:fldChar w:fldCharType="end"/>
        </w:r>
      </w:hyperlink>
    </w:p>
    <w:p w14:paraId="224C8012" w14:textId="77777777" w:rsidR="00855686" w:rsidRPr="000450F5" w:rsidRDefault="00FF501F">
      <w:pPr>
        <w:pStyle w:val="TOC2"/>
        <w:rPr>
          <w:rFonts w:ascii="Calibri" w:hAnsi="Calibri"/>
          <w:noProof/>
          <w:color w:val="auto"/>
          <w:szCs w:val="22"/>
        </w:rPr>
      </w:pPr>
      <w:hyperlink w:anchor="_Toc395079015" w:history="1">
        <w:r w:rsidR="00855686" w:rsidRPr="00FC1AC2">
          <w:rPr>
            <w:rStyle w:val="Hyperlink"/>
            <w:noProof/>
          </w:rPr>
          <w:t>FOI Act and section 13 AD(JR) Act requests</w:t>
        </w:r>
        <w:r w:rsidR="00855686">
          <w:rPr>
            <w:noProof/>
            <w:webHidden/>
          </w:rPr>
          <w:tab/>
        </w:r>
        <w:r w:rsidR="00855686">
          <w:rPr>
            <w:noProof/>
            <w:webHidden/>
          </w:rPr>
          <w:fldChar w:fldCharType="begin"/>
        </w:r>
        <w:r w:rsidR="00855686">
          <w:rPr>
            <w:noProof/>
            <w:webHidden/>
          </w:rPr>
          <w:instrText xml:space="preserve"> PAGEREF _Toc395079015 \h </w:instrText>
        </w:r>
        <w:r w:rsidR="00855686">
          <w:rPr>
            <w:noProof/>
            <w:webHidden/>
          </w:rPr>
        </w:r>
        <w:r w:rsidR="00855686">
          <w:rPr>
            <w:noProof/>
            <w:webHidden/>
          </w:rPr>
          <w:fldChar w:fldCharType="separate"/>
        </w:r>
        <w:r w:rsidR="001F11A4">
          <w:rPr>
            <w:noProof/>
            <w:webHidden/>
          </w:rPr>
          <w:t>10</w:t>
        </w:r>
        <w:r w:rsidR="00855686">
          <w:rPr>
            <w:noProof/>
            <w:webHidden/>
          </w:rPr>
          <w:fldChar w:fldCharType="end"/>
        </w:r>
      </w:hyperlink>
    </w:p>
    <w:p w14:paraId="6BD9F3E0" w14:textId="77777777" w:rsidR="00855686" w:rsidRPr="000450F5" w:rsidRDefault="00FF501F">
      <w:pPr>
        <w:pStyle w:val="TOC3"/>
        <w:rPr>
          <w:rFonts w:ascii="Calibri" w:hAnsi="Calibri"/>
          <w:noProof/>
          <w:color w:val="auto"/>
          <w:szCs w:val="22"/>
        </w:rPr>
      </w:pPr>
      <w:hyperlink w:anchor="_Toc395079016" w:history="1">
        <w:r w:rsidR="00855686" w:rsidRPr="00FC1AC2">
          <w:rPr>
            <w:rStyle w:val="Hyperlink"/>
            <w:noProof/>
          </w:rPr>
          <w:t>Ethics</w:t>
        </w:r>
        <w:r w:rsidR="00855686">
          <w:rPr>
            <w:noProof/>
            <w:webHidden/>
          </w:rPr>
          <w:tab/>
        </w:r>
        <w:r w:rsidR="00855686">
          <w:rPr>
            <w:noProof/>
            <w:webHidden/>
          </w:rPr>
          <w:fldChar w:fldCharType="begin"/>
        </w:r>
        <w:r w:rsidR="00855686">
          <w:rPr>
            <w:noProof/>
            <w:webHidden/>
          </w:rPr>
          <w:instrText xml:space="preserve"> PAGEREF _Toc395079016 \h </w:instrText>
        </w:r>
        <w:r w:rsidR="00855686">
          <w:rPr>
            <w:noProof/>
            <w:webHidden/>
          </w:rPr>
        </w:r>
        <w:r w:rsidR="00855686">
          <w:rPr>
            <w:noProof/>
            <w:webHidden/>
          </w:rPr>
          <w:fldChar w:fldCharType="separate"/>
        </w:r>
        <w:r w:rsidR="001F11A4">
          <w:rPr>
            <w:noProof/>
            <w:webHidden/>
          </w:rPr>
          <w:t>11</w:t>
        </w:r>
        <w:r w:rsidR="00855686">
          <w:rPr>
            <w:noProof/>
            <w:webHidden/>
          </w:rPr>
          <w:fldChar w:fldCharType="end"/>
        </w:r>
      </w:hyperlink>
    </w:p>
    <w:p w14:paraId="236DC134" w14:textId="77777777" w:rsidR="00855686" w:rsidRPr="000450F5" w:rsidRDefault="00FF501F">
      <w:pPr>
        <w:pStyle w:val="TOC3"/>
        <w:rPr>
          <w:rFonts w:ascii="Calibri" w:hAnsi="Calibri"/>
          <w:noProof/>
          <w:color w:val="auto"/>
          <w:szCs w:val="22"/>
        </w:rPr>
      </w:pPr>
      <w:hyperlink w:anchor="_Toc395079017" w:history="1">
        <w:r w:rsidR="00855686" w:rsidRPr="00FC1AC2">
          <w:rPr>
            <w:rStyle w:val="Hyperlink"/>
            <w:noProof/>
          </w:rPr>
          <w:t>External scrutiny and accountability</w:t>
        </w:r>
        <w:r w:rsidR="00855686">
          <w:rPr>
            <w:noProof/>
            <w:webHidden/>
          </w:rPr>
          <w:tab/>
        </w:r>
        <w:r w:rsidR="00855686">
          <w:rPr>
            <w:noProof/>
            <w:webHidden/>
          </w:rPr>
          <w:fldChar w:fldCharType="begin"/>
        </w:r>
        <w:r w:rsidR="00855686">
          <w:rPr>
            <w:noProof/>
            <w:webHidden/>
          </w:rPr>
          <w:instrText xml:space="preserve"> PAGEREF _Toc395079017 \h </w:instrText>
        </w:r>
        <w:r w:rsidR="00855686">
          <w:rPr>
            <w:noProof/>
            <w:webHidden/>
          </w:rPr>
        </w:r>
        <w:r w:rsidR="00855686">
          <w:rPr>
            <w:noProof/>
            <w:webHidden/>
          </w:rPr>
          <w:fldChar w:fldCharType="separate"/>
        </w:r>
        <w:r w:rsidR="001F11A4">
          <w:rPr>
            <w:noProof/>
            <w:webHidden/>
          </w:rPr>
          <w:t>11</w:t>
        </w:r>
        <w:r w:rsidR="00855686">
          <w:rPr>
            <w:noProof/>
            <w:webHidden/>
          </w:rPr>
          <w:fldChar w:fldCharType="end"/>
        </w:r>
      </w:hyperlink>
    </w:p>
    <w:p w14:paraId="44999FDD" w14:textId="77777777" w:rsidR="00855686" w:rsidRPr="000450F5" w:rsidRDefault="00FF501F">
      <w:pPr>
        <w:pStyle w:val="TOC3"/>
        <w:rPr>
          <w:rFonts w:ascii="Calibri" w:hAnsi="Calibri"/>
          <w:noProof/>
          <w:color w:val="auto"/>
          <w:szCs w:val="22"/>
        </w:rPr>
      </w:pPr>
      <w:hyperlink w:anchor="_Toc395079018" w:history="1">
        <w:r w:rsidR="00855686" w:rsidRPr="00FC1AC2">
          <w:rPr>
            <w:rStyle w:val="Hyperlink"/>
            <w:noProof/>
          </w:rPr>
          <w:t>Management of human resources</w:t>
        </w:r>
        <w:r w:rsidR="00855686">
          <w:rPr>
            <w:noProof/>
            <w:webHidden/>
          </w:rPr>
          <w:tab/>
        </w:r>
        <w:r w:rsidR="00855686">
          <w:rPr>
            <w:noProof/>
            <w:webHidden/>
          </w:rPr>
          <w:fldChar w:fldCharType="begin"/>
        </w:r>
        <w:r w:rsidR="00855686">
          <w:rPr>
            <w:noProof/>
            <w:webHidden/>
          </w:rPr>
          <w:instrText xml:space="preserve"> PAGEREF _Toc395079018 \h </w:instrText>
        </w:r>
        <w:r w:rsidR="00855686">
          <w:rPr>
            <w:noProof/>
            <w:webHidden/>
          </w:rPr>
        </w:r>
        <w:r w:rsidR="00855686">
          <w:rPr>
            <w:noProof/>
            <w:webHidden/>
          </w:rPr>
          <w:fldChar w:fldCharType="separate"/>
        </w:r>
        <w:r w:rsidR="001F11A4">
          <w:rPr>
            <w:noProof/>
            <w:webHidden/>
          </w:rPr>
          <w:t>11</w:t>
        </w:r>
        <w:r w:rsidR="00855686">
          <w:rPr>
            <w:noProof/>
            <w:webHidden/>
          </w:rPr>
          <w:fldChar w:fldCharType="end"/>
        </w:r>
      </w:hyperlink>
    </w:p>
    <w:p w14:paraId="5496AF0F" w14:textId="77777777" w:rsidR="00855686" w:rsidRPr="000450F5" w:rsidRDefault="00FF501F">
      <w:pPr>
        <w:pStyle w:val="TOC3"/>
        <w:rPr>
          <w:rFonts w:ascii="Calibri" w:hAnsi="Calibri"/>
          <w:noProof/>
          <w:color w:val="auto"/>
          <w:szCs w:val="22"/>
        </w:rPr>
      </w:pPr>
      <w:hyperlink w:anchor="_Toc395079019" w:history="1">
        <w:r w:rsidR="00855686" w:rsidRPr="00FC1AC2">
          <w:rPr>
            <w:rStyle w:val="Hyperlink"/>
            <w:noProof/>
          </w:rPr>
          <w:t>Purchasing</w:t>
        </w:r>
        <w:r w:rsidR="00855686">
          <w:rPr>
            <w:noProof/>
            <w:webHidden/>
          </w:rPr>
          <w:tab/>
        </w:r>
        <w:r w:rsidR="00855686">
          <w:rPr>
            <w:noProof/>
            <w:webHidden/>
          </w:rPr>
          <w:fldChar w:fldCharType="begin"/>
        </w:r>
        <w:r w:rsidR="00855686">
          <w:rPr>
            <w:noProof/>
            <w:webHidden/>
          </w:rPr>
          <w:instrText xml:space="preserve"> PAGEREF _Toc395079019 \h </w:instrText>
        </w:r>
        <w:r w:rsidR="00855686">
          <w:rPr>
            <w:noProof/>
            <w:webHidden/>
          </w:rPr>
        </w:r>
        <w:r w:rsidR="00855686">
          <w:rPr>
            <w:noProof/>
            <w:webHidden/>
          </w:rPr>
          <w:fldChar w:fldCharType="separate"/>
        </w:r>
        <w:r w:rsidR="001F11A4">
          <w:rPr>
            <w:noProof/>
            <w:webHidden/>
          </w:rPr>
          <w:t>11</w:t>
        </w:r>
        <w:r w:rsidR="00855686">
          <w:rPr>
            <w:noProof/>
            <w:webHidden/>
          </w:rPr>
          <w:fldChar w:fldCharType="end"/>
        </w:r>
      </w:hyperlink>
    </w:p>
    <w:p w14:paraId="33C6C11F" w14:textId="77777777" w:rsidR="00855686" w:rsidRPr="000450F5" w:rsidRDefault="00FF501F">
      <w:pPr>
        <w:pStyle w:val="TOC3"/>
        <w:rPr>
          <w:rFonts w:ascii="Calibri" w:hAnsi="Calibri"/>
          <w:noProof/>
          <w:color w:val="auto"/>
          <w:szCs w:val="22"/>
        </w:rPr>
      </w:pPr>
      <w:hyperlink w:anchor="_Toc395079020" w:history="1">
        <w:r w:rsidR="00855686" w:rsidRPr="00FC1AC2">
          <w:rPr>
            <w:rStyle w:val="Hyperlink"/>
            <w:noProof/>
          </w:rPr>
          <w:t>Consultants</w:t>
        </w:r>
        <w:r w:rsidR="00855686">
          <w:rPr>
            <w:noProof/>
            <w:webHidden/>
          </w:rPr>
          <w:tab/>
        </w:r>
        <w:r w:rsidR="00855686">
          <w:rPr>
            <w:noProof/>
            <w:webHidden/>
          </w:rPr>
          <w:fldChar w:fldCharType="begin"/>
        </w:r>
        <w:r w:rsidR="00855686">
          <w:rPr>
            <w:noProof/>
            <w:webHidden/>
          </w:rPr>
          <w:instrText xml:space="preserve"> PAGEREF _Toc395079020 \h </w:instrText>
        </w:r>
        <w:r w:rsidR="00855686">
          <w:rPr>
            <w:noProof/>
            <w:webHidden/>
          </w:rPr>
        </w:r>
        <w:r w:rsidR="00855686">
          <w:rPr>
            <w:noProof/>
            <w:webHidden/>
          </w:rPr>
          <w:fldChar w:fldCharType="separate"/>
        </w:r>
        <w:r w:rsidR="001F11A4">
          <w:rPr>
            <w:noProof/>
            <w:webHidden/>
          </w:rPr>
          <w:t>12</w:t>
        </w:r>
        <w:r w:rsidR="00855686">
          <w:rPr>
            <w:noProof/>
            <w:webHidden/>
          </w:rPr>
          <w:fldChar w:fldCharType="end"/>
        </w:r>
      </w:hyperlink>
    </w:p>
    <w:p w14:paraId="6AEB809A" w14:textId="77777777" w:rsidR="00855686" w:rsidRPr="000450F5" w:rsidRDefault="00FF501F">
      <w:pPr>
        <w:pStyle w:val="TOC3"/>
        <w:rPr>
          <w:rFonts w:ascii="Calibri" w:hAnsi="Calibri"/>
          <w:noProof/>
          <w:color w:val="auto"/>
          <w:szCs w:val="22"/>
        </w:rPr>
      </w:pPr>
      <w:hyperlink w:anchor="_Toc395079021" w:history="1">
        <w:r w:rsidR="00855686" w:rsidRPr="00FC1AC2">
          <w:rPr>
            <w:rStyle w:val="Hyperlink"/>
            <w:noProof/>
          </w:rPr>
          <w:t>Competitive tendering</w:t>
        </w:r>
        <w:r w:rsidR="00855686">
          <w:rPr>
            <w:noProof/>
            <w:webHidden/>
          </w:rPr>
          <w:tab/>
        </w:r>
        <w:r w:rsidR="00855686">
          <w:rPr>
            <w:noProof/>
            <w:webHidden/>
          </w:rPr>
          <w:fldChar w:fldCharType="begin"/>
        </w:r>
        <w:r w:rsidR="00855686">
          <w:rPr>
            <w:noProof/>
            <w:webHidden/>
          </w:rPr>
          <w:instrText xml:space="preserve"> PAGEREF _Toc395079021 \h </w:instrText>
        </w:r>
        <w:r w:rsidR="00855686">
          <w:rPr>
            <w:noProof/>
            <w:webHidden/>
          </w:rPr>
        </w:r>
        <w:r w:rsidR="00855686">
          <w:rPr>
            <w:noProof/>
            <w:webHidden/>
          </w:rPr>
          <w:fldChar w:fldCharType="separate"/>
        </w:r>
        <w:r w:rsidR="001F11A4">
          <w:rPr>
            <w:noProof/>
            <w:webHidden/>
          </w:rPr>
          <w:t>12</w:t>
        </w:r>
        <w:r w:rsidR="00855686">
          <w:rPr>
            <w:noProof/>
            <w:webHidden/>
          </w:rPr>
          <w:fldChar w:fldCharType="end"/>
        </w:r>
      </w:hyperlink>
    </w:p>
    <w:p w14:paraId="67B17294" w14:textId="77777777" w:rsidR="00855686" w:rsidRPr="000450F5" w:rsidRDefault="00FF501F">
      <w:pPr>
        <w:pStyle w:val="TOC3"/>
        <w:rPr>
          <w:rFonts w:ascii="Calibri" w:hAnsi="Calibri"/>
          <w:noProof/>
          <w:color w:val="auto"/>
          <w:szCs w:val="22"/>
        </w:rPr>
      </w:pPr>
      <w:hyperlink w:anchor="_Toc395079022" w:history="1">
        <w:r w:rsidR="00855686" w:rsidRPr="00FC1AC2">
          <w:rPr>
            <w:rStyle w:val="Hyperlink"/>
            <w:noProof/>
          </w:rPr>
          <w:t>Australian National Audit office Access Clauses</w:t>
        </w:r>
        <w:r w:rsidR="00855686">
          <w:rPr>
            <w:noProof/>
            <w:webHidden/>
          </w:rPr>
          <w:tab/>
        </w:r>
        <w:r w:rsidR="00855686">
          <w:rPr>
            <w:noProof/>
            <w:webHidden/>
          </w:rPr>
          <w:fldChar w:fldCharType="begin"/>
        </w:r>
        <w:r w:rsidR="00855686">
          <w:rPr>
            <w:noProof/>
            <w:webHidden/>
          </w:rPr>
          <w:instrText xml:space="preserve"> PAGEREF _Toc395079022 \h </w:instrText>
        </w:r>
        <w:r w:rsidR="00855686">
          <w:rPr>
            <w:noProof/>
            <w:webHidden/>
          </w:rPr>
        </w:r>
        <w:r w:rsidR="00855686">
          <w:rPr>
            <w:noProof/>
            <w:webHidden/>
          </w:rPr>
          <w:fldChar w:fldCharType="separate"/>
        </w:r>
        <w:r w:rsidR="001F11A4">
          <w:rPr>
            <w:noProof/>
            <w:webHidden/>
          </w:rPr>
          <w:t>12</w:t>
        </w:r>
        <w:r w:rsidR="00855686">
          <w:rPr>
            <w:noProof/>
            <w:webHidden/>
          </w:rPr>
          <w:fldChar w:fldCharType="end"/>
        </w:r>
      </w:hyperlink>
    </w:p>
    <w:p w14:paraId="1D85817E" w14:textId="77777777" w:rsidR="00855686" w:rsidRPr="000450F5" w:rsidRDefault="00FF501F">
      <w:pPr>
        <w:pStyle w:val="TOC3"/>
        <w:rPr>
          <w:rFonts w:ascii="Calibri" w:hAnsi="Calibri"/>
          <w:noProof/>
          <w:color w:val="auto"/>
          <w:szCs w:val="22"/>
        </w:rPr>
      </w:pPr>
      <w:hyperlink w:anchor="_Toc395079023" w:history="1">
        <w:r w:rsidR="00855686" w:rsidRPr="00FC1AC2">
          <w:rPr>
            <w:rStyle w:val="Hyperlink"/>
            <w:noProof/>
          </w:rPr>
          <w:t>Exempt contracts</w:t>
        </w:r>
        <w:r w:rsidR="00855686">
          <w:rPr>
            <w:noProof/>
            <w:webHidden/>
          </w:rPr>
          <w:tab/>
        </w:r>
        <w:r w:rsidR="00855686">
          <w:rPr>
            <w:noProof/>
            <w:webHidden/>
          </w:rPr>
          <w:fldChar w:fldCharType="begin"/>
        </w:r>
        <w:r w:rsidR="00855686">
          <w:rPr>
            <w:noProof/>
            <w:webHidden/>
          </w:rPr>
          <w:instrText xml:space="preserve"> PAGEREF _Toc395079023 \h </w:instrText>
        </w:r>
        <w:r w:rsidR="00855686">
          <w:rPr>
            <w:noProof/>
            <w:webHidden/>
          </w:rPr>
        </w:r>
        <w:r w:rsidR="00855686">
          <w:rPr>
            <w:noProof/>
            <w:webHidden/>
          </w:rPr>
          <w:fldChar w:fldCharType="separate"/>
        </w:r>
        <w:r w:rsidR="001F11A4">
          <w:rPr>
            <w:noProof/>
            <w:webHidden/>
          </w:rPr>
          <w:t>12</w:t>
        </w:r>
        <w:r w:rsidR="00855686">
          <w:rPr>
            <w:noProof/>
            <w:webHidden/>
          </w:rPr>
          <w:fldChar w:fldCharType="end"/>
        </w:r>
      </w:hyperlink>
    </w:p>
    <w:p w14:paraId="25C57D91" w14:textId="77777777" w:rsidR="00855686" w:rsidRPr="000450F5" w:rsidRDefault="00FF501F">
      <w:pPr>
        <w:pStyle w:val="TOC3"/>
        <w:rPr>
          <w:rFonts w:ascii="Calibri" w:hAnsi="Calibri"/>
          <w:noProof/>
          <w:color w:val="auto"/>
          <w:szCs w:val="22"/>
        </w:rPr>
      </w:pPr>
      <w:hyperlink w:anchor="_Toc395079024" w:history="1">
        <w:r w:rsidR="00855686" w:rsidRPr="00FC1AC2">
          <w:rPr>
            <w:rStyle w:val="Hyperlink"/>
            <w:noProof/>
          </w:rPr>
          <w:t>Advertising and market research</w:t>
        </w:r>
        <w:r w:rsidR="00855686">
          <w:rPr>
            <w:noProof/>
            <w:webHidden/>
          </w:rPr>
          <w:tab/>
        </w:r>
        <w:r w:rsidR="00855686">
          <w:rPr>
            <w:noProof/>
            <w:webHidden/>
          </w:rPr>
          <w:fldChar w:fldCharType="begin"/>
        </w:r>
        <w:r w:rsidR="00855686">
          <w:rPr>
            <w:noProof/>
            <w:webHidden/>
          </w:rPr>
          <w:instrText xml:space="preserve"> PAGEREF _Toc395079024 \h </w:instrText>
        </w:r>
        <w:r w:rsidR="00855686">
          <w:rPr>
            <w:noProof/>
            <w:webHidden/>
          </w:rPr>
        </w:r>
        <w:r w:rsidR="00855686">
          <w:rPr>
            <w:noProof/>
            <w:webHidden/>
          </w:rPr>
          <w:fldChar w:fldCharType="separate"/>
        </w:r>
        <w:r w:rsidR="001F11A4">
          <w:rPr>
            <w:noProof/>
            <w:webHidden/>
          </w:rPr>
          <w:t>12</w:t>
        </w:r>
        <w:r w:rsidR="00855686">
          <w:rPr>
            <w:noProof/>
            <w:webHidden/>
          </w:rPr>
          <w:fldChar w:fldCharType="end"/>
        </w:r>
      </w:hyperlink>
    </w:p>
    <w:p w14:paraId="246EDF65" w14:textId="77777777" w:rsidR="00855686" w:rsidRPr="000450F5" w:rsidRDefault="00FF501F">
      <w:pPr>
        <w:pStyle w:val="TOC3"/>
        <w:rPr>
          <w:rFonts w:ascii="Calibri" w:hAnsi="Calibri"/>
          <w:noProof/>
          <w:color w:val="auto"/>
          <w:szCs w:val="22"/>
        </w:rPr>
      </w:pPr>
      <w:hyperlink w:anchor="_Toc395079025" w:history="1">
        <w:r w:rsidR="00855686" w:rsidRPr="00FC1AC2">
          <w:rPr>
            <w:rStyle w:val="Hyperlink"/>
            <w:noProof/>
          </w:rPr>
          <w:t>Discretionary grants</w:t>
        </w:r>
        <w:r w:rsidR="00855686">
          <w:rPr>
            <w:noProof/>
            <w:webHidden/>
          </w:rPr>
          <w:tab/>
        </w:r>
        <w:r w:rsidR="00855686">
          <w:rPr>
            <w:noProof/>
            <w:webHidden/>
          </w:rPr>
          <w:fldChar w:fldCharType="begin"/>
        </w:r>
        <w:r w:rsidR="00855686">
          <w:rPr>
            <w:noProof/>
            <w:webHidden/>
          </w:rPr>
          <w:instrText xml:space="preserve"> PAGEREF _Toc395079025 \h </w:instrText>
        </w:r>
        <w:r w:rsidR="00855686">
          <w:rPr>
            <w:noProof/>
            <w:webHidden/>
          </w:rPr>
        </w:r>
        <w:r w:rsidR="00855686">
          <w:rPr>
            <w:noProof/>
            <w:webHidden/>
          </w:rPr>
          <w:fldChar w:fldCharType="separate"/>
        </w:r>
        <w:r w:rsidR="001F11A4">
          <w:rPr>
            <w:noProof/>
            <w:webHidden/>
          </w:rPr>
          <w:t>12</w:t>
        </w:r>
        <w:r w:rsidR="00855686">
          <w:rPr>
            <w:noProof/>
            <w:webHidden/>
          </w:rPr>
          <w:fldChar w:fldCharType="end"/>
        </w:r>
      </w:hyperlink>
    </w:p>
    <w:p w14:paraId="4C7CF69D" w14:textId="77777777" w:rsidR="00855686" w:rsidRPr="000450F5" w:rsidRDefault="00FF501F">
      <w:pPr>
        <w:pStyle w:val="TOC1"/>
        <w:rPr>
          <w:rFonts w:ascii="Calibri" w:hAnsi="Calibri"/>
          <w:b w:val="0"/>
          <w:smallCaps w:val="0"/>
          <w:noProof/>
          <w:color w:val="auto"/>
          <w:sz w:val="22"/>
        </w:rPr>
      </w:pPr>
      <w:hyperlink w:anchor="_Toc395079026" w:history="1">
        <w:r w:rsidR="00855686" w:rsidRPr="00FC1AC2">
          <w:rPr>
            <w:rStyle w:val="Hyperlink"/>
            <w:noProof/>
          </w:rPr>
          <w:t>Glossary</w:t>
        </w:r>
        <w:r w:rsidR="00855686">
          <w:rPr>
            <w:noProof/>
            <w:webHidden/>
          </w:rPr>
          <w:tab/>
        </w:r>
        <w:r w:rsidR="00855686">
          <w:rPr>
            <w:noProof/>
            <w:webHidden/>
          </w:rPr>
          <w:fldChar w:fldCharType="begin"/>
        </w:r>
        <w:r w:rsidR="00855686">
          <w:rPr>
            <w:noProof/>
            <w:webHidden/>
          </w:rPr>
          <w:instrText xml:space="preserve"> PAGEREF _Toc395079026 \h </w:instrText>
        </w:r>
        <w:r w:rsidR="00855686">
          <w:rPr>
            <w:noProof/>
            <w:webHidden/>
          </w:rPr>
        </w:r>
        <w:r w:rsidR="00855686">
          <w:rPr>
            <w:noProof/>
            <w:webHidden/>
          </w:rPr>
          <w:fldChar w:fldCharType="separate"/>
        </w:r>
        <w:r w:rsidR="001F11A4">
          <w:rPr>
            <w:noProof/>
            <w:webHidden/>
          </w:rPr>
          <w:t>13</w:t>
        </w:r>
        <w:r w:rsidR="00855686">
          <w:rPr>
            <w:noProof/>
            <w:webHidden/>
          </w:rPr>
          <w:fldChar w:fldCharType="end"/>
        </w:r>
      </w:hyperlink>
    </w:p>
    <w:p w14:paraId="710DC577" w14:textId="77777777" w:rsidR="00855686" w:rsidRPr="000450F5" w:rsidRDefault="00FF501F">
      <w:pPr>
        <w:pStyle w:val="TOC1"/>
        <w:rPr>
          <w:rFonts w:ascii="Calibri" w:hAnsi="Calibri"/>
          <w:b w:val="0"/>
          <w:smallCaps w:val="0"/>
          <w:noProof/>
          <w:color w:val="auto"/>
          <w:sz w:val="22"/>
        </w:rPr>
      </w:pPr>
      <w:hyperlink w:anchor="_Toc395079027" w:history="1">
        <w:r w:rsidR="00855686" w:rsidRPr="00FC1AC2">
          <w:rPr>
            <w:rStyle w:val="Hyperlink"/>
            <w:noProof/>
          </w:rPr>
          <w:t>Appendix 1</w:t>
        </w:r>
        <w:r w:rsidR="00855686">
          <w:rPr>
            <w:noProof/>
            <w:webHidden/>
          </w:rPr>
          <w:tab/>
        </w:r>
        <w:r w:rsidR="00855686">
          <w:rPr>
            <w:noProof/>
            <w:webHidden/>
          </w:rPr>
          <w:fldChar w:fldCharType="begin"/>
        </w:r>
        <w:r w:rsidR="00855686">
          <w:rPr>
            <w:noProof/>
            <w:webHidden/>
          </w:rPr>
          <w:instrText xml:space="preserve"> PAGEREF _Toc395079027 \h </w:instrText>
        </w:r>
        <w:r w:rsidR="00855686">
          <w:rPr>
            <w:noProof/>
            <w:webHidden/>
          </w:rPr>
        </w:r>
        <w:r w:rsidR="00855686">
          <w:rPr>
            <w:noProof/>
            <w:webHidden/>
          </w:rPr>
          <w:fldChar w:fldCharType="separate"/>
        </w:r>
        <w:r w:rsidR="001F11A4">
          <w:rPr>
            <w:noProof/>
            <w:webHidden/>
          </w:rPr>
          <w:t>15</w:t>
        </w:r>
        <w:r w:rsidR="00855686">
          <w:rPr>
            <w:noProof/>
            <w:webHidden/>
          </w:rPr>
          <w:fldChar w:fldCharType="end"/>
        </w:r>
      </w:hyperlink>
    </w:p>
    <w:p w14:paraId="385D5DAB" w14:textId="77777777" w:rsidR="00855686" w:rsidRPr="000450F5" w:rsidRDefault="00FF501F">
      <w:pPr>
        <w:pStyle w:val="TOC2"/>
        <w:rPr>
          <w:rFonts w:ascii="Calibri" w:hAnsi="Calibri"/>
          <w:noProof/>
          <w:color w:val="auto"/>
          <w:szCs w:val="22"/>
        </w:rPr>
      </w:pPr>
      <w:hyperlink w:anchor="_Toc395079028" w:history="1">
        <w:r w:rsidR="00855686" w:rsidRPr="00FC1AC2">
          <w:rPr>
            <w:rStyle w:val="Hyperlink"/>
            <w:noProof/>
          </w:rPr>
          <w:t>CALDB procedures with respect to applications</w:t>
        </w:r>
        <w:r w:rsidR="00855686">
          <w:rPr>
            <w:noProof/>
            <w:webHidden/>
          </w:rPr>
          <w:tab/>
        </w:r>
        <w:r w:rsidR="00855686">
          <w:rPr>
            <w:noProof/>
            <w:webHidden/>
          </w:rPr>
          <w:fldChar w:fldCharType="begin"/>
        </w:r>
        <w:r w:rsidR="00855686">
          <w:rPr>
            <w:noProof/>
            <w:webHidden/>
          </w:rPr>
          <w:instrText xml:space="preserve"> PAGEREF _Toc395079028 \h </w:instrText>
        </w:r>
        <w:r w:rsidR="00855686">
          <w:rPr>
            <w:noProof/>
            <w:webHidden/>
          </w:rPr>
        </w:r>
        <w:r w:rsidR="00855686">
          <w:rPr>
            <w:noProof/>
            <w:webHidden/>
          </w:rPr>
          <w:fldChar w:fldCharType="separate"/>
        </w:r>
        <w:r w:rsidR="001F11A4">
          <w:rPr>
            <w:noProof/>
            <w:webHidden/>
          </w:rPr>
          <w:t>15</w:t>
        </w:r>
        <w:r w:rsidR="00855686">
          <w:rPr>
            <w:noProof/>
            <w:webHidden/>
          </w:rPr>
          <w:fldChar w:fldCharType="end"/>
        </w:r>
      </w:hyperlink>
    </w:p>
    <w:p w14:paraId="70DF3120" w14:textId="77777777" w:rsidR="00855686" w:rsidRPr="000450F5" w:rsidRDefault="00FF501F">
      <w:pPr>
        <w:pStyle w:val="TOC3"/>
        <w:rPr>
          <w:rFonts w:ascii="Calibri" w:hAnsi="Calibri"/>
          <w:noProof/>
          <w:color w:val="auto"/>
          <w:szCs w:val="22"/>
        </w:rPr>
      </w:pPr>
      <w:hyperlink w:anchor="_Toc395079029" w:history="1">
        <w:r w:rsidR="00855686" w:rsidRPr="00FC1AC2">
          <w:rPr>
            <w:rStyle w:val="Hyperlink"/>
            <w:noProof/>
          </w:rPr>
          <w:t>Panel of CALDB members to hear and determine matters</w:t>
        </w:r>
        <w:r w:rsidR="00855686">
          <w:rPr>
            <w:noProof/>
            <w:webHidden/>
          </w:rPr>
          <w:tab/>
        </w:r>
        <w:r w:rsidR="00855686">
          <w:rPr>
            <w:noProof/>
            <w:webHidden/>
          </w:rPr>
          <w:fldChar w:fldCharType="begin"/>
        </w:r>
        <w:r w:rsidR="00855686">
          <w:rPr>
            <w:noProof/>
            <w:webHidden/>
          </w:rPr>
          <w:instrText xml:space="preserve"> PAGEREF _Toc395079029 \h </w:instrText>
        </w:r>
        <w:r w:rsidR="00855686">
          <w:rPr>
            <w:noProof/>
            <w:webHidden/>
          </w:rPr>
        </w:r>
        <w:r w:rsidR="00855686">
          <w:rPr>
            <w:noProof/>
            <w:webHidden/>
          </w:rPr>
          <w:fldChar w:fldCharType="separate"/>
        </w:r>
        <w:r w:rsidR="001F11A4">
          <w:rPr>
            <w:noProof/>
            <w:webHidden/>
          </w:rPr>
          <w:t>17</w:t>
        </w:r>
        <w:r w:rsidR="00855686">
          <w:rPr>
            <w:noProof/>
            <w:webHidden/>
          </w:rPr>
          <w:fldChar w:fldCharType="end"/>
        </w:r>
      </w:hyperlink>
    </w:p>
    <w:p w14:paraId="3D6C87D2" w14:textId="77777777" w:rsidR="00855686" w:rsidRPr="000450F5" w:rsidRDefault="00FF501F">
      <w:pPr>
        <w:pStyle w:val="TOC1"/>
        <w:rPr>
          <w:rFonts w:ascii="Calibri" w:hAnsi="Calibri"/>
          <w:b w:val="0"/>
          <w:smallCaps w:val="0"/>
          <w:noProof/>
          <w:color w:val="auto"/>
          <w:sz w:val="22"/>
        </w:rPr>
      </w:pPr>
      <w:hyperlink w:anchor="_Toc395079030" w:history="1">
        <w:r w:rsidR="00855686" w:rsidRPr="00FC1AC2">
          <w:rPr>
            <w:rStyle w:val="Hyperlink"/>
            <w:noProof/>
          </w:rPr>
          <w:t>Appendix 2</w:t>
        </w:r>
        <w:r w:rsidR="00855686">
          <w:rPr>
            <w:noProof/>
            <w:webHidden/>
          </w:rPr>
          <w:tab/>
        </w:r>
        <w:r w:rsidR="00855686">
          <w:rPr>
            <w:noProof/>
            <w:webHidden/>
          </w:rPr>
          <w:fldChar w:fldCharType="begin"/>
        </w:r>
        <w:r w:rsidR="00855686">
          <w:rPr>
            <w:noProof/>
            <w:webHidden/>
          </w:rPr>
          <w:instrText xml:space="preserve"> PAGEREF _Toc395079030 \h </w:instrText>
        </w:r>
        <w:r w:rsidR="00855686">
          <w:rPr>
            <w:noProof/>
            <w:webHidden/>
          </w:rPr>
        </w:r>
        <w:r w:rsidR="00855686">
          <w:rPr>
            <w:noProof/>
            <w:webHidden/>
          </w:rPr>
          <w:fldChar w:fldCharType="separate"/>
        </w:r>
        <w:r w:rsidR="001F11A4">
          <w:rPr>
            <w:noProof/>
            <w:webHidden/>
          </w:rPr>
          <w:t>19</w:t>
        </w:r>
        <w:r w:rsidR="00855686">
          <w:rPr>
            <w:noProof/>
            <w:webHidden/>
          </w:rPr>
          <w:fldChar w:fldCharType="end"/>
        </w:r>
      </w:hyperlink>
    </w:p>
    <w:p w14:paraId="07A34C0C" w14:textId="77777777" w:rsidR="00855686" w:rsidRPr="000450F5" w:rsidRDefault="00FF501F">
      <w:pPr>
        <w:pStyle w:val="TOC2"/>
        <w:rPr>
          <w:rFonts w:ascii="Calibri" w:hAnsi="Calibri"/>
          <w:noProof/>
          <w:color w:val="auto"/>
          <w:szCs w:val="22"/>
        </w:rPr>
      </w:pPr>
      <w:hyperlink w:anchor="_Toc395079031" w:history="1">
        <w:r w:rsidR="00855686" w:rsidRPr="00FC1AC2">
          <w:rPr>
            <w:rStyle w:val="Hyperlink"/>
            <w:noProof/>
          </w:rPr>
          <w:t>Details of current members of the Board</w:t>
        </w:r>
        <w:r w:rsidR="00855686">
          <w:rPr>
            <w:noProof/>
            <w:webHidden/>
          </w:rPr>
          <w:tab/>
        </w:r>
        <w:r w:rsidR="00855686">
          <w:rPr>
            <w:noProof/>
            <w:webHidden/>
          </w:rPr>
          <w:fldChar w:fldCharType="begin"/>
        </w:r>
        <w:r w:rsidR="00855686">
          <w:rPr>
            <w:noProof/>
            <w:webHidden/>
          </w:rPr>
          <w:instrText xml:space="preserve"> PAGEREF _Toc395079031 \h </w:instrText>
        </w:r>
        <w:r w:rsidR="00855686">
          <w:rPr>
            <w:noProof/>
            <w:webHidden/>
          </w:rPr>
        </w:r>
        <w:r w:rsidR="00855686">
          <w:rPr>
            <w:noProof/>
            <w:webHidden/>
          </w:rPr>
          <w:fldChar w:fldCharType="separate"/>
        </w:r>
        <w:r w:rsidR="001F11A4">
          <w:rPr>
            <w:noProof/>
            <w:webHidden/>
          </w:rPr>
          <w:t>19</w:t>
        </w:r>
        <w:r w:rsidR="00855686">
          <w:rPr>
            <w:noProof/>
            <w:webHidden/>
          </w:rPr>
          <w:fldChar w:fldCharType="end"/>
        </w:r>
      </w:hyperlink>
    </w:p>
    <w:p w14:paraId="1EA92A26" w14:textId="77777777" w:rsidR="00855686" w:rsidRPr="000450F5" w:rsidRDefault="00FF501F">
      <w:pPr>
        <w:pStyle w:val="TOC1"/>
        <w:rPr>
          <w:rFonts w:ascii="Calibri" w:hAnsi="Calibri"/>
          <w:b w:val="0"/>
          <w:smallCaps w:val="0"/>
          <w:noProof/>
          <w:color w:val="auto"/>
          <w:sz w:val="22"/>
        </w:rPr>
      </w:pPr>
      <w:hyperlink w:anchor="_Toc395079032" w:history="1">
        <w:r w:rsidR="00855686" w:rsidRPr="00FC1AC2">
          <w:rPr>
            <w:rStyle w:val="Hyperlink"/>
            <w:noProof/>
          </w:rPr>
          <w:t>Appendix 3</w:t>
        </w:r>
        <w:r w:rsidR="00855686">
          <w:rPr>
            <w:noProof/>
            <w:webHidden/>
          </w:rPr>
          <w:tab/>
        </w:r>
        <w:r w:rsidR="00855686">
          <w:rPr>
            <w:noProof/>
            <w:webHidden/>
          </w:rPr>
          <w:fldChar w:fldCharType="begin"/>
        </w:r>
        <w:r w:rsidR="00855686">
          <w:rPr>
            <w:noProof/>
            <w:webHidden/>
          </w:rPr>
          <w:instrText xml:space="preserve"> PAGEREF _Toc395079032 \h </w:instrText>
        </w:r>
        <w:r w:rsidR="00855686">
          <w:rPr>
            <w:noProof/>
            <w:webHidden/>
          </w:rPr>
        </w:r>
        <w:r w:rsidR="00855686">
          <w:rPr>
            <w:noProof/>
            <w:webHidden/>
          </w:rPr>
          <w:fldChar w:fldCharType="separate"/>
        </w:r>
        <w:r w:rsidR="001F11A4">
          <w:rPr>
            <w:noProof/>
            <w:webHidden/>
          </w:rPr>
          <w:t>22</w:t>
        </w:r>
        <w:r w:rsidR="00855686">
          <w:rPr>
            <w:noProof/>
            <w:webHidden/>
          </w:rPr>
          <w:fldChar w:fldCharType="end"/>
        </w:r>
      </w:hyperlink>
    </w:p>
    <w:p w14:paraId="5AC2B9B6" w14:textId="77777777" w:rsidR="00855686" w:rsidRPr="000450F5" w:rsidRDefault="00FF501F">
      <w:pPr>
        <w:pStyle w:val="TOC2"/>
        <w:rPr>
          <w:rFonts w:ascii="Calibri" w:hAnsi="Calibri"/>
          <w:noProof/>
          <w:color w:val="auto"/>
          <w:szCs w:val="22"/>
        </w:rPr>
      </w:pPr>
      <w:hyperlink w:anchor="_Toc395079033" w:history="1">
        <w:r w:rsidR="00855686" w:rsidRPr="00FC1AC2">
          <w:rPr>
            <w:rStyle w:val="Hyperlink"/>
            <w:noProof/>
          </w:rPr>
          <w:t>Decisions gazetted during the year ended 30 June 2014</w:t>
        </w:r>
        <w:r w:rsidR="00855686">
          <w:rPr>
            <w:noProof/>
            <w:webHidden/>
          </w:rPr>
          <w:tab/>
        </w:r>
        <w:r w:rsidR="00855686">
          <w:rPr>
            <w:noProof/>
            <w:webHidden/>
          </w:rPr>
          <w:fldChar w:fldCharType="begin"/>
        </w:r>
        <w:r w:rsidR="00855686">
          <w:rPr>
            <w:noProof/>
            <w:webHidden/>
          </w:rPr>
          <w:instrText xml:space="preserve"> PAGEREF _Toc395079033 \h </w:instrText>
        </w:r>
        <w:r w:rsidR="00855686">
          <w:rPr>
            <w:noProof/>
            <w:webHidden/>
          </w:rPr>
        </w:r>
        <w:r w:rsidR="00855686">
          <w:rPr>
            <w:noProof/>
            <w:webHidden/>
          </w:rPr>
          <w:fldChar w:fldCharType="separate"/>
        </w:r>
        <w:r w:rsidR="001F11A4">
          <w:rPr>
            <w:noProof/>
            <w:webHidden/>
          </w:rPr>
          <w:t>22</w:t>
        </w:r>
        <w:r w:rsidR="00855686">
          <w:rPr>
            <w:noProof/>
            <w:webHidden/>
          </w:rPr>
          <w:fldChar w:fldCharType="end"/>
        </w:r>
      </w:hyperlink>
    </w:p>
    <w:p w14:paraId="11118E86" w14:textId="77777777" w:rsidR="00B830C9" w:rsidRDefault="00487C7E" w:rsidP="004A70FC">
      <w:pPr>
        <w:tabs>
          <w:tab w:val="right" w:leader="dot" w:pos="9072"/>
        </w:tabs>
        <w:ind w:right="-1"/>
        <w:rPr>
          <w:b/>
          <w:bCs/>
        </w:rPr>
        <w:sectPr w:rsidR="00B830C9" w:rsidSect="000450F5">
          <w:headerReference w:type="default" r:id="rId22"/>
          <w:footerReference w:type="default" r:id="rId23"/>
          <w:pgSz w:w="11907" w:h="16834" w:code="9"/>
          <w:pgMar w:top="2466" w:right="2098" w:bottom="2466" w:left="2098" w:header="1899" w:footer="1899" w:gutter="0"/>
          <w:pgNumType w:fmt="lowerRoman"/>
          <w:cols w:space="720"/>
          <w:docGrid w:linePitch="326"/>
        </w:sectPr>
      </w:pPr>
      <w:r w:rsidRPr="00755D7D">
        <w:rPr>
          <w:b/>
          <w:bCs/>
        </w:rPr>
        <w:fldChar w:fldCharType="end"/>
      </w:r>
    </w:p>
    <w:p w14:paraId="69957096" w14:textId="2F9E8482" w:rsidR="009B4E7E" w:rsidRDefault="009B4E7E" w:rsidP="004A70FC">
      <w:pPr>
        <w:tabs>
          <w:tab w:val="right" w:leader="dot" w:pos="9072"/>
        </w:tabs>
        <w:ind w:right="-1"/>
        <w:rPr>
          <w:b/>
          <w:bCs/>
        </w:rPr>
      </w:pPr>
    </w:p>
    <w:p w14:paraId="031B6ADE" w14:textId="70A2FF59" w:rsidR="009B4E7E" w:rsidRDefault="009B4E7E" w:rsidP="009B4E7E"/>
    <w:p w14:paraId="5278157E" w14:textId="77777777" w:rsidR="009B4E7E" w:rsidRDefault="009B4E7E" w:rsidP="009B4E7E"/>
    <w:p w14:paraId="63DD721D" w14:textId="77777777" w:rsidR="009B4E7E" w:rsidRDefault="009B4E7E" w:rsidP="009B4E7E"/>
    <w:p w14:paraId="416FBF97" w14:textId="13FC0D5B" w:rsidR="009B4E7E" w:rsidRDefault="009B4E7E" w:rsidP="009B4E7E"/>
    <w:p w14:paraId="7715E3C3" w14:textId="0D81E616" w:rsidR="009B4E7E" w:rsidRDefault="009B4E7E" w:rsidP="009B4E7E"/>
    <w:p w14:paraId="1DCF9CDD" w14:textId="77777777" w:rsidR="009B4E7E" w:rsidRDefault="009B4E7E" w:rsidP="009B4E7E"/>
    <w:p w14:paraId="42304806" w14:textId="77777777" w:rsidR="009B4E7E" w:rsidRDefault="009B4E7E" w:rsidP="009B4E7E"/>
    <w:p w14:paraId="5147F07C" w14:textId="77777777" w:rsidR="009B4E7E" w:rsidRDefault="009B4E7E" w:rsidP="009B4E7E"/>
    <w:p w14:paraId="4FE1AAE0" w14:textId="77777777" w:rsidR="009B4E7E" w:rsidRDefault="009B4E7E" w:rsidP="009B4E7E"/>
    <w:p w14:paraId="1F652772" w14:textId="77777777" w:rsidR="009B4E7E" w:rsidRDefault="009B4E7E" w:rsidP="009B4E7E"/>
    <w:p w14:paraId="06A7129D" w14:textId="77777777" w:rsidR="009B4E7E" w:rsidRDefault="009B4E7E" w:rsidP="009B4E7E"/>
    <w:p w14:paraId="5281CE7A" w14:textId="77777777" w:rsidR="009B4E7E" w:rsidRDefault="009B4E7E" w:rsidP="009B4E7E"/>
    <w:p w14:paraId="58DAF60F" w14:textId="77777777" w:rsidR="009B4E7E" w:rsidRDefault="009B4E7E" w:rsidP="009B4E7E"/>
    <w:p w14:paraId="631E9230" w14:textId="77777777" w:rsidR="009B4E7E" w:rsidRDefault="009B4E7E" w:rsidP="009B4E7E"/>
    <w:p w14:paraId="26DB1521" w14:textId="77777777" w:rsidR="009B4E7E" w:rsidRDefault="009B4E7E" w:rsidP="009B4E7E"/>
    <w:p w14:paraId="3DC656B9" w14:textId="77777777" w:rsidR="009B4E7E" w:rsidRDefault="009B4E7E" w:rsidP="009B4E7E"/>
    <w:p w14:paraId="7CF9D8D6" w14:textId="77777777" w:rsidR="009B4E7E" w:rsidRDefault="009B4E7E" w:rsidP="009B4E7E"/>
    <w:p w14:paraId="18007D96" w14:textId="77777777" w:rsidR="009B4E7E" w:rsidRDefault="009B4E7E" w:rsidP="009B4E7E"/>
    <w:p w14:paraId="7B4E9598" w14:textId="77777777" w:rsidR="009B4E7E" w:rsidRDefault="009B4E7E" w:rsidP="009B4E7E"/>
    <w:p w14:paraId="10CDEC8C" w14:textId="77777777" w:rsidR="009B4E7E" w:rsidRDefault="009B4E7E" w:rsidP="009B4E7E"/>
    <w:p w14:paraId="41CC85A8" w14:textId="77777777" w:rsidR="009B4E7E" w:rsidRDefault="009B4E7E" w:rsidP="009B4E7E"/>
    <w:p w14:paraId="65DE8FEC" w14:textId="4B64841A" w:rsidR="009B4E7E" w:rsidRDefault="009B4E7E" w:rsidP="009B4E7E">
      <w:r>
        <w:rPr>
          <w:noProof/>
        </w:rPr>
        <w:drawing>
          <wp:anchor distT="0" distB="0" distL="114300" distR="114300" simplePos="0" relativeHeight="251658240" behindDoc="0" locked="0" layoutInCell="1" allowOverlap="1" wp14:anchorId="66EBE354" wp14:editId="11C3862F">
            <wp:simplePos x="0" y="0"/>
            <wp:positionH relativeFrom="column">
              <wp:posOffset>-3762</wp:posOffset>
            </wp:positionH>
            <wp:positionV relativeFrom="paragraph">
              <wp:posOffset>-7972940</wp:posOffset>
            </wp:positionV>
            <wp:extent cx="5731510" cy="81026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DB SignedTransmittal Letter 290814.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31510" cy="8102600"/>
                    </a:xfrm>
                    <a:prstGeom prst="rect">
                      <a:avLst/>
                    </a:prstGeom>
                  </pic:spPr>
                </pic:pic>
              </a:graphicData>
            </a:graphic>
            <wp14:sizeRelH relativeFrom="page">
              <wp14:pctWidth>0</wp14:pctWidth>
            </wp14:sizeRelH>
            <wp14:sizeRelV relativeFrom="page">
              <wp14:pctHeight>0</wp14:pctHeight>
            </wp14:sizeRelV>
          </wp:anchor>
        </w:drawing>
      </w:r>
    </w:p>
    <w:p w14:paraId="3DF46443" w14:textId="36A15E2F" w:rsidR="00633B17" w:rsidRDefault="009B4E7E" w:rsidP="003D24D1">
      <w:pPr>
        <w:spacing w:after="0" w:line="240" w:lineRule="auto"/>
        <w:sectPr w:rsidR="00633B17" w:rsidSect="000450F5">
          <w:type w:val="oddPage"/>
          <w:pgSz w:w="11907" w:h="16834" w:code="9"/>
          <w:pgMar w:top="2466" w:right="2098" w:bottom="2466" w:left="2098" w:header="1899" w:footer="1899" w:gutter="0"/>
          <w:pgNumType w:fmt="lowerRoman"/>
          <w:cols w:space="720"/>
          <w:docGrid w:linePitch="326"/>
        </w:sectPr>
      </w:pPr>
      <w:r>
        <w:rPr>
          <w:b/>
          <w:bCs/>
        </w:rPr>
        <w:br w:type="page"/>
      </w:r>
      <w:bookmarkStart w:id="1" w:name="_GoBack"/>
      <w:bookmarkEnd w:id="1"/>
    </w:p>
    <w:p w14:paraId="63B73A21" w14:textId="77777777" w:rsidR="00306FBA" w:rsidRPr="00755D7D" w:rsidRDefault="00F607A8" w:rsidP="006E37E2">
      <w:pPr>
        <w:pStyle w:val="Heading1"/>
      </w:pPr>
      <w:bookmarkStart w:id="2" w:name="_Toc395079000"/>
      <w:r w:rsidRPr="00755D7D">
        <w:t>Chair</w:t>
      </w:r>
      <w:r w:rsidR="00AF4116" w:rsidRPr="00755D7D">
        <w:t>person</w:t>
      </w:r>
      <w:r w:rsidR="0044339B" w:rsidRPr="00755D7D">
        <w:t>’</w:t>
      </w:r>
      <w:r w:rsidRPr="00755D7D">
        <w:t>s Review</w:t>
      </w:r>
      <w:bookmarkEnd w:id="2"/>
    </w:p>
    <w:p w14:paraId="073DE207" w14:textId="77777777" w:rsidR="0074385B" w:rsidRPr="00755D7D" w:rsidRDefault="00F607A8" w:rsidP="006E37E2">
      <w:pPr>
        <w:pStyle w:val="CAR-BodyText-Left"/>
      </w:pPr>
      <w:r w:rsidRPr="00755D7D">
        <w:t>The 2013</w:t>
      </w:r>
      <w:r w:rsidR="0044339B" w:rsidRPr="00755D7D">
        <w:noBreakHyphen/>
      </w:r>
      <w:r w:rsidRPr="00755D7D">
        <w:t xml:space="preserve">14 reporting year </w:t>
      </w:r>
      <w:r w:rsidR="00E80266" w:rsidRPr="00755D7D">
        <w:t>was productive</w:t>
      </w:r>
      <w:r w:rsidR="00494F86" w:rsidRPr="00755D7D">
        <w:t xml:space="preserve">. </w:t>
      </w:r>
      <w:r w:rsidR="009238A8" w:rsidRPr="00755D7D">
        <w:t xml:space="preserve">During the year, </w:t>
      </w:r>
      <w:r w:rsidR="0074385B" w:rsidRPr="00755D7D">
        <w:t>CALDB</w:t>
      </w:r>
      <w:r w:rsidR="0055569A" w:rsidRPr="00755D7D">
        <w:t xml:space="preserve"> has </w:t>
      </w:r>
      <w:r w:rsidR="00562EE8" w:rsidRPr="00755D7D">
        <w:t>dealt</w:t>
      </w:r>
      <w:r w:rsidR="0055569A" w:rsidRPr="00755D7D">
        <w:t xml:space="preserve"> with a steady flow of applications</w:t>
      </w:r>
      <w:r w:rsidR="00F41E42" w:rsidRPr="00755D7D">
        <w:t xml:space="preserve"> </w:t>
      </w:r>
      <w:r w:rsidR="009238A8" w:rsidRPr="00755D7D">
        <w:t>brought by ASIC</w:t>
      </w:r>
      <w:r w:rsidR="0074385B" w:rsidRPr="00755D7D">
        <w:t xml:space="preserve">, in marked </w:t>
      </w:r>
      <w:r w:rsidR="0055569A" w:rsidRPr="00755D7D">
        <w:t>contr</w:t>
      </w:r>
      <w:r w:rsidR="00B65834" w:rsidRPr="00755D7D">
        <w:t xml:space="preserve">ast to the </w:t>
      </w:r>
      <w:r w:rsidR="0043314B" w:rsidRPr="00755D7D">
        <w:t>2009 to 2012 reporting years</w:t>
      </w:r>
      <w:r w:rsidR="00B65834" w:rsidRPr="00755D7D">
        <w:t xml:space="preserve">, when few </w:t>
      </w:r>
      <w:r w:rsidR="0043314B" w:rsidRPr="00755D7D">
        <w:t xml:space="preserve">applications were </w:t>
      </w:r>
      <w:r w:rsidR="00FB0D62" w:rsidRPr="00755D7D">
        <w:t>brought</w:t>
      </w:r>
      <w:r w:rsidR="0043314B" w:rsidRPr="00755D7D">
        <w:t xml:space="preserve"> to the Board</w:t>
      </w:r>
      <w:r w:rsidR="00E621BC" w:rsidRPr="00755D7D">
        <w:t>.</w:t>
      </w:r>
    </w:p>
    <w:p w14:paraId="6C14D871" w14:textId="77777777" w:rsidR="00A22B11" w:rsidRPr="00755D7D" w:rsidRDefault="009436B4" w:rsidP="006E37E2">
      <w:pPr>
        <w:pStyle w:val="CAR-BodyText-Left"/>
      </w:pPr>
      <w:r w:rsidRPr="00755D7D">
        <w:t>Durin</w:t>
      </w:r>
      <w:r w:rsidR="00B1735E" w:rsidRPr="00755D7D">
        <w:t>g the</w:t>
      </w:r>
      <w:r w:rsidRPr="00755D7D">
        <w:t xml:space="preserve"> reporting year, </w:t>
      </w:r>
      <w:r w:rsidR="00E80266" w:rsidRPr="00755D7D">
        <w:t>CALDB deliver</w:t>
      </w:r>
      <w:r w:rsidR="00F2231C" w:rsidRPr="00755D7D">
        <w:t>ed</w:t>
      </w:r>
      <w:r w:rsidR="00E80266" w:rsidRPr="00755D7D">
        <w:t xml:space="preserve"> </w:t>
      </w:r>
      <w:r w:rsidR="00A22B11" w:rsidRPr="00755D7D">
        <w:t>decisions in re</w:t>
      </w:r>
      <w:r w:rsidR="00E80266" w:rsidRPr="00755D7D">
        <w:t xml:space="preserve">spect of </w:t>
      </w:r>
      <w:r w:rsidRPr="00755D7D">
        <w:t>six</w:t>
      </w:r>
      <w:r w:rsidR="00A22B11" w:rsidRPr="00755D7D">
        <w:t xml:space="preserve"> applications</w:t>
      </w:r>
      <w:r w:rsidR="00562EE8" w:rsidRPr="00755D7D">
        <w:t>. Five of these concerned liquidators and one concerned</w:t>
      </w:r>
      <w:r w:rsidRPr="00755D7D">
        <w:t xml:space="preserve"> an auditor</w:t>
      </w:r>
      <w:r w:rsidR="00494F86" w:rsidRPr="00755D7D">
        <w:t xml:space="preserve">. </w:t>
      </w:r>
      <w:r w:rsidR="00E80266" w:rsidRPr="00755D7D">
        <w:t xml:space="preserve">In </w:t>
      </w:r>
      <w:r w:rsidR="00C81D1C" w:rsidRPr="00755D7D">
        <w:t>t</w:t>
      </w:r>
      <w:r w:rsidR="00E40549" w:rsidRPr="00755D7D">
        <w:t>hree</w:t>
      </w:r>
      <w:r w:rsidR="00C81D1C" w:rsidRPr="00755D7D">
        <w:t xml:space="preserve"> </w:t>
      </w:r>
      <w:r w:rsidR="00E80266" w:rsidRPr="00755D7D">
        <w:t xml:space="preserve">of the </w:t>
      </w:r>
      <w:r w:rsidR="009A15F3" w:rsidRPr="00755D7D">
        <w:t xml:space="preserve">liquidator </w:t>
      </w:r>
      <w:r w:rsidR="00E80266" w:rsidRPr="00755D7D">
        <w:t>matters</w:t>
      </w:r>
      <w:r w:rsidR="00F41E42" w:rsidRPr="00755D7D">
        <w:t xml:space="preserve">, </w:t>
      </w:r>
      <w:r w:rsidR="00E80266" w:rsidRPr="00755D7D">
        <w:t xml:space="preserve">the Board decided to exercise its power to cancel </w:t>
      </w:r>
      <w:r w:rsidR="009238A8" w:rsidRPr="00755D7D">
        <w:t xml:space="preserve">the </w:t>
      </w:r>
      <w:r w:rsidR="00F945CA" w:rsidRPr="00755D7D">
        <w:t xml:space="preserve">relevant </w:t>
      </w:r>
      <w:r w:rsidR="00FA4BCE" w:rsidRPr="00755D7D">
        <w:t>liquidator</w:t>
      </w:r>
      <w:r w:rsidR="0044339B" w:rsidRPr="00755D7D">
        <w:t>’</w:t>
      </w:r>
      <w:r w:rsidR="00FA4BCE" w:rsidRPr="00755D7D">
        <w:t xml:space="preserve">s </w:t>
      </w:r>
      <w:r w:rsidR="00E80266" w:rsidRPr="00755D7D">
        <w:t>registration</w:t>
      </w:r>
      <w:r w:rsidR="00494F86" w:rsidRPr="00755D7D">
        <w:t xml:space="preserve">. </w:t>
      </w:r>
      <w:r w:rsidR="00D3071F" w:rsidRPr="00755D7D">
        <w:t xml:space="preserve">In the other two </w:t>
      </w:r>
      <w:r w:rsidR="00B65834" w:rsidRPr="00755D7D">
        <w:t xml:space="preserve">liquidator </w:t>
      </w:r>
      <w:r w:rsidR="00D3071F" w:rsidRPr="00755D7D">
        <w:t>matters</w:t>
      </w:r>
      <w:r w:rsidR="00B65834" w:rsidRPr="00755D7D">
        <w:t xml:space="preserve">, </w:t>
      </w:r>
      <w:r w:rsidR="00E80266" w:rsidRPr="00755D7D">
        <w:t xml:space="preserve">it suspended registration for a period of six months and required remedial undertakings from the </w:t>
      </w:r>
      <w:r w:rsidR="009A15F3" w:rsidRPr="00755D7D">
        <w:t>liquidator</w:t>
      </w:r>
      <w:r w:rsidR="00CC284E" w:rsidRPr="00755D7D">
        <w:t>s</w:t>
      </w:r>
      <w:r w:rsidR="00FA4BCE" w:rsidRPr="00755D7D">
        <w:t xml:space="preserve"> </w:t>
      </w:r>
      <w:r w:rsidR="00E80266" w:rsidRPr="00755D7D">
        <w:t>concerned</w:t>
      </w:r>
      <w:r w:rsidR="00CC284E" w:rsidRPr="00755D7D">
        <w:t>,</w:t>
      </w:r>
      <w:r w:rsidR="00E80266" w:rsidRPr="00755D7D">
        <w:t xml:space="preserve"> with the objective of preventing future recurrence of the offending conduct</w:t>
      </w:r>
      <w:r w:rsidR="00494F86" w:rsidRPr="00755D7D">
        <w:t xml:space="preserve">. </w:t>
      </w:r>
      <w:r w:rsidR="00B65834" w:rsidRPr="00755D7D">
        <w:t xml:space="preserve">In the auditor matter, it suspended registration for a period of three years and required remedial undertakings. </w:t>
      </w:r>
      <w:r w:rsidR="00074672" w:rsidRPr="00755D7D">
        <w:t>C</w:t>
      </w:r>
      <w:r w:rsidR="00F1721B" w:rsidRPr="00755D7D">
        <w:t>opies of the decisions and reasons are on the Board</w:t>
      </w:r>
      <w:r w:rsidR="0044339B" w:rsidRPr="00755D7D">
        <w:t>’</w:t>
      </w:r>
      <w:r w:rsidR="00F1721B" w:rsidRPr="00755D7D">
        <w:t xml:space="preserve">s website, </w:t>
      </w:r>
      <w:hyperlink r:id="rId25" w:history="1">
        <w:r w:rsidR="00074672" w:rsidRPr="00755D7D">
          <w:rPr>
            <w:rStyle w:val="Hyperlink"/>
          </w:rPr>
          <w:t>www.caldb.gov.au</w:t>
        </w:r>
      </w:hyperlink>
      <w:r w:rsidR="00074672" w:rsidRPr="00755D7D">
        <w:t>.</w:t>
      </w:r>
      <w:r w:rsidR="00074672" w:rsidRPr="00755D7D">
        <w:rPr>
          <w:rStyle w:val="FootnoteReference"/>
        </w:rPr>
        <w:footnoteReference w:id="1"/>
      </w:r>
    </w:p>
    <w:p w14:paraId="76C06633" w14:textId="77777777" w:rsidR="00AA41BE" w:rsidRPr="00755D7D" w:rsidRDefault="003225B1" w:rsidP="006E37E2">
      <w:pPr>
        <w:pStyle w:val="CAR-BodyText-Left"/>
      </w:pPr>
      <w:r w:rsidRPr="00755D7D">
        <w:t xml:space="preserve">A number of new applications </w:t>
      </w:r>
      <w:r w:rsidR="00F27AFE" w:rsidRPr="00755D7D">
        <w:t xml:space="preserve">were </w:t>
      </w:r>
      <w:r w:rsidR="00091CBC" w:rsidRPr="00755D7D">
        <w:t xml:space="preserve">received </w:t>
      </w:r>
      <w:r w:rsidR="004C156D" w:rsidRPr="00755D7D">
        <w:t>in recent months</w:t>
      </w:r>
      <w:r w:rsidR="00B1735E" w:rsidRPr="00755D7D">
        <w:t>. These</w:t>
      </w:r>
      <w:r w:rsidR="001E3ABF" w:rsidRPr="00755D7D">
        <w:t xml:space="preserve"> are being dealt with</w:t>
      </w:r>
      <w:r w:rsidRPr="00755D7D">
        <w:t xml:space="preserve"> in accordance with the</w:t>
      </w:r>
      <w:r w:rsidR="001E3ABF" w:rsidRPr="00755D7D">
        <w:t xml:space="preserve"> Board</w:t>
      </w:r>
      <w:r w:rsidR="0044339B" w:rsidRPr="00755D7D">
        <w:t>’</w:t>
      </w:r>
      <w:r w:rsidR="001E3ABF" w:rsidRPr="00755D7D">
        <w:t>s pre</w:t>
      </w:r>
      <w:r w:rsidR="0044339B" w:rsidRPr="00755D7D">
        <w:noBreakHyphen/>
      </w:r>
      <w:r w:rsidR="001E3ABF" w:rsidRPr="00755D7D">
        <w:t>hearing procedures and will be heard in the near future</w:t>
      </w:r>
      <w:r w:rsidRPr="00755D7D">
        <w:t>.</w:t>
      </w:r>
    </w:p>
    <w:p w14:paraId="4E1DBC2C" w14:textId="77777777" w:rsidR="00FB0D62" w:rsidRPr="00755D7D" w:rsidRDefault="00AA41BE" w:rsidP="006E37E2">
      <w:pPr>
        <w:pStyle w:val="CAR-BodyText-Left"/>
      </w:pPr>
      <w:r w:rsidRPr="00755D7D">
        <w:t xml:space="preserve">CALDB has sought to deal fairly and expeditiously with all applications </w:t>
      </w:r>
      <w:r w:rsidR="00CE3E4A" w:rsidRPr="00755D7D">
        <w:t>and to provide its decisions on a timely basis. In a number of instances during the reporting year, applications by respondents to superior courts have delayed CALDB hearings or decisions.</w:t>
      </w:r>
    </w:p>
    <w:p w14:paraId="65C8B162" w14:textId="77777777" w:rsidR="004C156D" w:rsidRPr="00755D7D" w:rsidRDefault="000B3661" w:rsidP="006E37E2">
      <w:pPr>
        <w:pStyle w:val="CAR-BodyText-Left"/>
      </w:pPr>
      <w:r w:rsidRPr="00755D7D">
        <w:t xml:space="preserve">For most of the reporting year, the Board has operated without </w:t>
      </w:r>
      <w:r w:rsidR="00A53891" w:rsidRPr="00755D7D">
        <w:t>its</w:t>
      </w:r>
      <w:r w:rsidR="00BB38D5" w:rsidRPr="00755D7D">
        <w:t xml:space="preserve"> full complement of 14 members</w:t>
      </w:r>
      <w:r w:rsidR="00A53891" w:rsidRPr="00755D7D">
        <w:t xml:space="preserve">. </w:t>
      </w:r>
      <w:r w:rsidR="004C156D" w:rsidRPr="00755D7D">
        <w:t xml:space="preserve">The terms of business members Professor Ian Ramsay and Messrs David Barnett, Tom </w:t>
      </w:r>
      <w:proofErr w:type="spellStart"/>
      <w:r w:rsidR="004C156D" w:rsidRPr="00755D7D">
        <w:t>Bostock</w:t>
      </w:r>
      <w:proofErr w:type="spellEnd"/>
      <w:r w:rsidR="004C156D" w:rsidRPr="00755D7D">
        <w:t xml:space="preserve"> and John Keeves expired </w:t>
      </w:r>
      <w:r w:rsidR="008E3DE4" w:rsidRPr="00755D7D">
        <w:t>during the year</w:t>
      </w:r>
      <w:r w:rsidR="004C156D" w:rsidRPr="00755D7D">
        <w:t xml:space="preserve"> and were not renewed b</w:t>
      </w:r>
      <w:r w:rsidR="008E3DE4" w:rsidRPr="00755D7D">
        <w:t>y the Minister</w:t>
      </w:r>
      <w:r w:rsidR="00494F86" w:rsidRPr="00755D7D">
        <w:t xml:space="preserve">. </w:t>
      </w:r>
      <w:r w:rsidR="004C156D" w:rsidRPr="00755D7D">
        <w:t>Each of these gentlemen commenced as members of the Board on 1</w:t>
      </w:r>
      <w:r w:rsidR="00494F86" w:rsidRPr="00755D7D">
        <w:t> </w:t>
      </w:r>
      <w:r w:rsidR="004C156D" w:rsidRPr="00755D7D">
        <w:t>September 2004</w:t>
      </w:r>
      <w:r w:rsidR="002A5F2A" w:rsidRPr="00755D7D">
        <w:t>,</w:t>
      </w:r>
      <w:r w:rsidR="004C156D" w:rsidRPr="00755D7D">
        <w:t xml:space="preserve"> as inaugural business members after chan</w:t>
      </w:r>
      <w:r w:rsidR="008E3DE4" w:rsidRPr="00755D7D">
        <w:t>ges in the relevant legislation</w:t>
      </w:r>
      <w:r w:rsidR="004C156D" w:rsidRPr="00755D7D">
        <w:t xml:space="preserve">. I, along with </w:t>
      </w:r>
      <w:r w:rsidR="002A5F2A" w:rsidRPr="00755D7D">
        <w:t>all</w:t>
      </w:r>
      <w:r w:rsidR="004C156D" w:rsidRPr="00755D7D">
        <w:t xml:space="preserve"> </w:t>
      </w:r>
      <w:r w:rsidR="00F945CA" w:rsidRPr="00755D7D">
        <w:t xml:space="preserve">remaining </w:t>
      </w:r>
      <w:r w:rsidR="004C156D" w:rsidRPr="00755D7D">
        <w:t>members of CALDB, express sincere appreciation to each of the outgoing members for their substantial contribution to the work of CALDB</w:t>
      </w:r>
      <w:r w:rsidR="00494F86" w:rsidRPr="00755D7D">
        <w:t xml:space="preserve">. </w:t>
      </w:r>
    </w:p>
    <w:p w14:paraId="5F49EECA" w14:textId="77777777" w:rsidR="002524C7" w:rsidRPr="00755D7D" w:rsidRDefault="002E0DCD" w:rsidP="006E37E2">
      <w:pPr>
        <w:pStyle w:val="CAR-BodyText-Left"/>
      </w:pPr>
      <w:r w:rsidRPr="00755D7D">
        <w:t>During the reporting year</w:t>
      </w:r>
      <w:r w:rsidR="00D76977" w:rsidRPr="00755D7D">
        <w:t xml:space="preserve"> </w:t>
      </w:r>
      <w:r w:rsidR="00D3071F" w:rsidRPr="00755D7D">
        <w:t>ASIC</w:t>
      </w:r>
      <w:r w:rsidRPr="00755D7D">
        <w:t xml:space="preserve"> </w:t>
      </w:r>
      <w:r w:rsidR="003225B1" w:rsidRPr="00755D7D">
        <w:t>concluded a</w:t>
      </w:r>
      <w:r w:rsidRPr="00755D7D">
        <w:t xml:space="preserve"> review of the cost of</w:t>
      </w:r>
      <w:r w:rsidR="009A15F3" w:rsidRPr="00755D7D">
        <w:t xml:space="preserve"> </w:t>
      </w:r>
      <w:r w:rsidR="00512136" w:rsidRPr="00755D7D">
        <w:t>providing staff and</w:t>
      </w:r>
      <w:r w:rsidRPr="00755D7D">
        <w:t xml:space="preserve"> support </w:t>
      </w:r>
      <w:r w:rsidR="00512136" w:rsidRPr="00755D7D">
        <w:t xml:space="preserve">facilities </w:t>
      </w:r>
      <w:r w:rsidR="009A15F3" w:rsidRPr="00755D7D">
        <w:t xml:space="preserve">for </w:t>
      </w:r>
      <w:r w:rsidRPr="00755D7D">
        <w:t>CALDB</w:t>
      </w:r>
      <w:r w:rsidR="00D3071F" w:rsidRPr="00755D7D">
        <w:t>,</w:t>
      </w:r>
      <w:r w:rsidRPr="00755D7D">
        <w:t xml:space="preserve"> </w:t>
      </w:r>
      <w:r w:rsidR="002A5F2A" w:rsidRPr="00755D7D">
        <w:t xml:space="preserve">which </w:t>
      </w:r>
      <w:r w:rsidR="00D76977" w:rsidRPr="00755D7D">
        <w:t xml:space="preserve">it </w:t>
      </w:r>
      <w:r w:rsidR="002A5F2A" w:rsidRPr="00755D7D">
        <w:t xml:space="preserve">is </w:t>
      </w:r>
      <w:r w:rsidR="00512136" w:rsidRPr="00755D7D">
        <w:t xml:space="preserve">required </w:t>
      </w:r>
      <w:r w:rsidR="00D76977" w:rsidRPr="00755D7D">
        <w:t xml:space="preserve">to provide to CALDB </w:t>
      </w:r>
      <w:r w:rsidR="002A5F2A" w:rsidRPr="00755D7D">
        <w:t>under</w:t>
      </w:r>
      <w:r w:rsidR="00FA4BCE" w:rsidRPr="00755D7D">
        <w:t xml:space="preserve"> </w:t>
      </w:r>
      <w:r w:rsidRPr="00755D7D">
        <w:t>Section</w:t>
      </w:r>
      <w:r w:rsidR="00896DCD" w:rsidRPr="00755D7D">
        <w:t> </w:t>
      </w:r>
      <w:r w:rsidRPr="00755D7D">
        <w:t xml:space="preserve">11(2) of the </w:t>
      </w:r>
      <w:r w:rsidR="009D7BF7" w:rsidRPr="00755D7D">
        <w:t>ASIC Act</w:t>
      </w:r>
      <w:r w:rsidRPr="00755D7D">
        <w:t xml:space="preserve">. </w:t>
      </w:r>
      <w:r w:rsidR="00DE0F52" w:rsidRPr="00755D7D">
        <w:t>Following this review</w:t>
      </w:r>
      <w:r w:rsidR="003225B1" w:rsidRPr="00755D7D">
        <w:t xml:space="preserve">, </w:t>
      </w:r>
      <w:r w:rsidR="00DE0F52" w:rsidRPr="00755D7D">
        <w:t>CALDB</w:t>
      </w:r>
      <w:r w:rsidR="0044339B" w:rsidRPr="00755D7D">
        <w:t>’</w:t>
      </w:r>
      <w:r w:rsidR="00DE0F52" w:rsidRPr="00755D7D">
        <w:t xml:space="preserve">s </w:t>
      </w:r>
      <w:r w:rsidRPr="00755D7D">
        <w:t xml:space="preserve">full time support staff </w:t>
      </w:r>
      <w:r w:rsidR="00DE0F52" w:rsidRPr="00755D7D">
        <w:t xml:space="preserve">has been reduced </w:t>
      </w:r>
      <w:r w:rsidR="00D76977" w:rsidRPr="00755D7D">
        <w:t xml:space="preserve">from two persons </w:t>
      </w:r>
      <w:r w:rsidR="001E3ABF" w:rsidRPr="00755D7D">
        <w:t xml:space="preserve">to </w:t>
      </w:r>
      <w:r w:rsidRPr="00755D7D">
        <w:t>one</w:t>
      </w:r>
      <w:r w:rsidR="001E3ABF" w:rsidRPr="00755D7D">
        <w:t xml:space="preserve"> (the Registrar) </w:t>
      </w:r>
      <w:r w:rsidRPr="00755D7D">
        <w:t>and CALDB</w:t>
      </w:r>
      <w:r w:rsidR="0044339B" w:rsidRPr="00755D7D">
        <w:t>’</w:t>
      </w:r>
      <w:r w:rsidRPr="00755D7D">
        <w:t xml:space="preserve">s </w:t>
      </w:r>
      <w:r w:rsidR="00DE0F52" w:rsidRPr="00755D7D">
        <w:t xml:space="preserve">registry and office </w:t>
      </w:r>
      <w:r w:rsidRPr="00755D7D">
        <w:t xml:space="preserve">premises </w:t>
      </w:r>
      <w:r w:rsidR="00512136" w:rsidRPr="00755D7D">
        <w:t>have been</w:t>
      </w:r>
      <w:r w:rsidR="00DE0F52" w:rsidRPr="00755D7D">
        <w:t xml:space="preserve"> co</w:t>
      </w:r>
      <w:r w:rsidR="0044339B" w:rsidRPr="00755D7D">
        <w:noBreakHyphen/>
      </w:r>
      <w:r w:rsidR="00DE0F52" w:rsidRPr="00755D7D">
        <w:t>located</w:t>
      </w:r>
      <w:r w:rsidRPr="00755D7D">
        <w:t xml:space="preserve"> </w:t>
      </w:r>
      <w:r w:rsidR="00DE0F52" w:rsidRPr="00755D7D">
        <w:t>to self</w:t>
      </w:r>
      <w:r w:rsidR="0044339B" w:rsidRPr="00755D7D">
        <w:noBreakHyphen/>
      </w:r>
      <w:r w:rsidR="00DE0F52" w:rsidRPr="00755D7D">
        <w:t xml:space="preserve">contained and fully secure space </w:t>
      </w:r>
      <w:r w:rsidRPr="00755D7D">
        <w:t>within ASIC</w:t>
      </w:r>
      <w:r w:rsidR="0044339B" w:rsidRPr="00755D7D">
        <w:t>’</w:t>
      </w:r>
      <w:r w:rsidRPr="00755D7D">
        <w:t xml:space="preserve">s Sydney premises. </w:t>
      </w:r>
      <w:r w:rsidR="00782C95" w:rsidRPr="00755D7D">
        <w:t>These changes have resulted in significant cost savings</w:t>
      </w:r>
      <w:r w:rsidR="00494F86" w:rsidRPr="00755D7D">
        <w:t xml:space="preserve">. </w:t>
      </w:r>
    </w:p>
    <w:p w14:paraId="325AB4B1" w14:textId="77777777" w:rsidR="002524C7" w:rsidRPr="00755D7D" w:rsidRDefault="001E3ABF" w:rsidP="006E37E2">
      <w:pPr>
        <w:pStyle w:val="CAR-BodyText-Left"/>
      </w:pPr>
      <w:r w:rsidRPr="00755D7D">
        <w:lastRenderedPageBreak/>
        <w:t>As</w:t>
      </w:r>
      <w:r w:rsidR="00D3071F" w:rsidRPr="00755D7D">
        <w:t xml:space="preserve"> a disciplinary </w:t>
      </w:r>
      <w:r w:rsidRPr="00755D7D">
        <w:t>tribunal</w:t>
      </w:r>
      <w:r w:rsidR="00DE0F52" w:rsidRPr="00755D7D">
        <w:t xml:space="preserve"> </w:t>
      </w:r>
      <w:r w:rsidR="00BF7B63">
        <w:t>that</w:t>
      </w:r>
      <w:r w:rsidR="00DE0F52" w:rsidRPr="00755D7D">
        <w:t xml:space="preserve"> hears</w:t>
      </w:r>
      <w:r w:rsidR="00D3071F" w:rsidRPr="00755D7D">
        <w:t xml:space="preserve"> applications </w:t>
      </w:r>
      <w:r w:rsidR="00782C95" w:rsidRPr="00755D7D">
        <w:t>brought by ASIC</w:t>
      </w:r>
      <w:r w:rsidR="00512136" w:rsidRPr="00755D7D">
        <w:t xml:space="preserve"> itself</w:t>
      </w:r>
      <w:r w:rsidR="00F2231C" w:rsidRPr="00755D7D">
        <w:t>,</w:t>
      </w:r>
      <w:r w:rsidR="00D3071F" w:rsidRPr="00755D7D">
        <w:t xml:space="preserve"> </w:t>
      </w:r>
      <w:r w:rsidR="002E0DCD" w:rsidRPr="00755D7D">
        <w:t xml:space="preserve">CALDB </w:t>
      </w:r>
      <w:r w:rsidR="00963217" w:rsidRPr="00755D7D">
        <w:t>must be</w:t>
      </w:r>
      <w:r w:rsidR="00782C95" w:rsidRPr="00755D7D">
        <w:t>,</w:t>
      </w:r>
      <w:r w:rsidR="00963217" w:rsidRPr="00755D7D">
        <w:t xml:space="preserve"> and be seen to be independent </w:t>
      </w:r>
      <w:r w:rsidR="002E0DCD" w:rsidRPr="00755D7D">
        <w:t>from ASIC</w:t>
      </w:r>
      <w:r w:rsidR="00D3071F" w:rsidRPr="00755D7D">
        <w:t>.</w:t>
      </w:r>
      <w:r w:rsidR="002E0DCD" w:rsidRPr="00755D7D">
        <w:t xml:space="preserve"> </w:t>
      </w:r>
      <w:r w:rsidR="00401A04" w:rsidRPr="00755D7D">
        <w:t xml:space="preserve">Notwithstanding the relocation of </w:t>
      </w:r>
      <w:r w:rsidR="00FA4BCE" w:rsidRPr="00755D7D">
        <w:t xml:space="preserve">the </w:t>
      </w:r>
      <w:r w:rsidR="00401A04" w:rsidRPr="00755D7D">
        <w:t xml:space="preserve">CALDB </w:t>
      </w:r>
      <w:r w:rsidR="006E5F94" w:rsidRPr="00755D7D">
        <w:t xml:space="preserve">office and </w:t>
      </w:r>
      <w:r w:rsidR="00FA4BCE" w:rsidRPr="00755D7D">
        <w:t xml:space="preserve">registry </w:t>
      </w:r>
      <w:r w:rsidR="00401A04" w:rsidRPr="00755D7D">
        <w:t xml:space="preserve">to premises leased by ASIC, </w:t>
      </w:r>
      <w:r w:rsidR="00782C95" w:rsidRPr="00755D7D">
        <w:t xml:space="preserve">arrangements </w:t>
      </w:r>
      <w:r w:rsidR="00401A04" w:rsidRPr="00755D7D">
        <w:t xml:space="preserve">are in place to </w:t>
      </w:r>
      <w:r w:rsidR="00FA4BCE" w:rsidRPr="00755D7D">
        <w:t xml:space="preserve">ensure </w:t>
      </w:r>
      <w:r w:rsidR="009A15F3" w:rsidRPr="00755D7D">
        <w:t>the</w:t>
      </w:r>
      <w:r w:rsidR="00FA4BCE" w:rsidRPr="00755D7D">
        <w:t xml:space="preserve"> security and privacy of CALDB operations,</w:t>
      </w:r>
      <w:r w:rsidR="00401A04" w:rsidRPr="00755D7D">
        <w:t xml:space="preserve"> with the intention of </w:t>
      </w:r>
      <w:r w:rsidR="009A15F3" w:rsidRPr="00755D7D">
        <w:t>preserving</w:t>
      </w:r>
      <w:r w:rsidR="00A30824" w:rsidRPr="00755D7D">
        <w:t xml:space="preserve"> its</w:t>
      </w:r>
      <w:r w:rsidR="00401A04" w:rsidRPr="00755D7D">
        <w:t xml:space="preserve"> independence</w:t>
      </w:r>
      <w:r w:rsidR="00FA4BCE" w:rsidRPr="00755D7D">
        <w:t>.</w:t>
      </w:r>
      <w:r w:rsidR="00401A04" w:rsidRPr="00755D7D">
        <w:t xml:space="preserve"> </w:t>
      </w:r>
      <w:r w:rsidR="00FA4BCE" w:rsidRPr="00755D7D">
        <w:t xml:space="preserve">The </w:t>
      </w:r>
      <w:r w:rsidR="006E5F94" w:rsidRPr="00755D7D">
        <w:t xml:space="preserve">primary </w:t>
      </w:r>
      <w:r w:rsidR="00FA4BCE" w:rsidRPr="00755D7D">
        <w:t xml:space="preserve">activity of the Board, </w:t>
      </w:r>
      <w:r w:rsidR="00091CBC" w:rsidRPr="00755D7D">
        <w:t>(</w:t>
      </w:r>
      <w:r w:rsidR="00FA4BCE" w:rsidRPr="00755D7D">
        <w:t xml:space="preserve">the </w:t>
      </w:r>
      <w:r w:rsidR="00A30824" w:rsidRPr="00755D7D">
        <w:t xml:space="preserve">conduct of </w:t>
      </w:r>
      <w:r w:rsidR="009A15F3" w:rsidRPr="00755D7D">
        <w:t xml:space="preserve">the </w:t>
      </w:r>
      <w:r w:rsidR="00FA4BCE" w:rsidRPr="00755D7D">
        <w:t>hearings</w:t>
      </w:r>
      <w:r w:rsidR="009A15F3" w:rsidRPr="00755D7D">
        <w:t xml:space="preserve"> themselves</w:t>
      </w:r>
      <w:r w:rsidR="00091CBC" w:rsidRPr="00755D7D">
        <w:t>)</w:t>
      </w:r>
      <w:r w:rsidR="00FA4BCE" w:rsidRPr="00755D7D">
        <w:t>,</w:t>
      </w:r>
      <w:r w:rsidR="00963217" w:rsidRPr="00755D7D">
        <w:t xml:space="preserve"> now </w:t>
      </w:r>
      <w:r w:rsidR="00A30824" w:rsidRPr="00755D7D">
        <w:t>takes place</w:t>
      </w:r>
      <w:r w:rsidR="00963217" w:rsidRPr="00755D7D">
        <w:t xml:space="preserve"> </w:t>
      </w:r>
      <w:r w:rsidR="00FA4BCE" w:rsidRPr="00755D7D">
        <w:t xml:space="preserve">at appropriate </w:t>
      </w:r>
      <w:r w:rsidR="00963217" w:rsidRPr="00755D7D">
        <w:t xml:space="preserve">off–site hearing rooms, hired on an </w:t>
      </w:r>
      <w:r w:rsidR="0044339B" w:rsidRPr="00755D7D">
        <w:t>‘</w:t>
      </w:r>
      <w:r w:rsidR="00963217" w:rsidRPr="00755D7D">
        <w:t>as</w:t>
      </w:r>
      <w:r w:rsidR="0044339B" w:rsidRPr="00755D7D">
        <w:noBreakHyphen/>
      </w:r>
      <w:r w:rsidR="00963217" w:rsidRPr="00755D7D">
        <w:t>needs</w:t>
      </w:r>
      <w:r w:rsidR="0044339B" w:rsidRPr="00755D7D">
        <w:t>’</w:t>
      </w:r>
      <w:r w:rsidR="00963217" w:rsidRPr="00755D7D">
        <w:t xml:space="preserve"> basis.</w:t>
      </w:r>
    </w:p>
    <w:p w14:paraId="5CD2C710" w14:textId="77777777" w:rsidR="002A5F2A" w:rsidRPr="00755D7D" w:rsidRDefault="002A5F2A" w:rsidP="006E37E2">
      <w:pPr>
        <w:pStyle w:val="CAR-BodyText-Left"/>
      </w:pPr>
      <w:r w:rsidRPr="00755D7D">
        <w:t xml:space="preserve">CALDB records its appreciation for the support </w:t>
      </w:r>
      <w:r w:rsidR="00BF7B63">
        <w:t>that</w:t>
      </w:r>
      <w:r w:rsidR="00896DCD" w:rsidRPr="00755D7D">
        <w:t xml:space="preserve"> ASIC provides, pursuant to s </w:t>
      </w:r>
      <w:r w:rsidRPr="00755D7D">
        <w:t xml:space="preserve">11(2) of the </w:t>
      </w:r>
      <w:r w:rsidR="009D7BF7" w:rsidRPr="00755D7D">
        <w:t>ASIC</w:t>
      </w:r>
      <w:r w:rsidR="00E621BC" w:rsidRPr="00755D7D">
        <w:t> </w:t>
      </w:r>
      <w:r w:rsidR="009D7BF7" w:rsidRPr="00755D7D">
        <w:t>Act</w:t>
      </w:r>
      <w:r w:rsidRPr="00755D7D">
        <w:t xml:space="preserve"> and also for the assistance which Treasury provides, through its regul</w:t>
      </w:r>
      <w:r w:rsidR="00896DCD" w:rsidRPr="00755D7D">
        <w:t>ar consultation with the Board.</w:t>
      </w:r>
    </w:p>
    <w:p w14:paraId="1D2B85B5" w14:textId="77777777" w:rsidR="002A5F2A" w:rsidRPr="00755D7D" w:rsidRDefault="002A5F2A" w:rsidP="006E37E2">
      <w:pPr>
        <w:pStyle w:val="CAR-BodyText-Left"/>
      </w:pPr>
      <w:r w:rsidRPr="00755D7D">
        <w:t>I also wish to acknowledge and thank each of the remaining members of CALDB, who so generously contribute their significant experience and expertise on a part time basis, and notwithstanding the demands of their practices or other professional or business commitments.</w:t>
      </w:r>
    </w:p>
    <w:p w14:paraId="29B542E1" w14:textId="77777777" w:rsidR="00E40549" w:rsidRPr="00755D7D" w:rsidRDefault="002E0DCD" w:rsidP="00E621BC">
      <w:pPr>
        <w:pStyle w:val="CAR-BodyText-Left"/>
        <w:spacing w:after="600"/>
      </w:pPr>
      <w:r w:rsidRPr="00755D7D">
        <w:t>In the coming year</w:t>
      </w:r>
      <w:r w:rsidR="00A30824" w:rsidRPr="00755D7D">
        <w:t>,</w:t>
      </w:r>
      <w:r w:rsidRPr="00755D7D">
        <w:t xml:space="preserve"> </w:t>
      </w:r>
      <w:r w:rsidR="00F945CA" w:rsidRPr="00755D7D">
        <w:t xml:space="preserve">it is my hope that </w:t>
      </w:r>
      <w:r w:rsidRPr="00755D7D">
        <w:t xml:space="preserve">CALDB will continue to </w:t>
      </w:r>
      <w:r w:rsidR="00D3071F" w:rsidRPr="00755D7D">
        <w:t xml:space="preserve">maintain its focus on </w:t>
      </w:r>
      <w:r w:rsidRPr="00755D7D">
        <w:t>deal</w:t>
      </w:r>
      <w:r w:rsidR="00D3071F" w:rsidRPr="00755D7D">
        <w:t>ing</w:t>
      </w:r>
      <w:r w:rsidRPr="00755D7D">
        <w:t xml:space="preserve"> with matters </w:t>
      </w:r>
      <w:r w:rsidR="00F945CA" w:rsidRPr="00755D7D">
        <w:t xml:space="preserve">fairly, </w:t>
      </w:r>
      <w:r w:rsidRPr="00755D7D">
        <w:t>cost</w:t>
      </w:r>
      <w:r w:rsidR="0044339B" w:rsidRPr="00755D7D">
        <w:noBreakHyphen/>
      </w:r>
      <w:r w:rsidRPr="00755D7D">
        <w:t xml:space="preserve">effectively and expeditiously in order to </w:t>
      </w:r>
      <w:r w:rsidR="00D3071F" w:rsidRPr="00755D7D">
        <w:t>ensure</w:t>
      </w:r>
      <w:r w:rsidRPr="00755D7D">
        <w:t xml:space="preserve"> its contribution as a relevant and effective enforcement body within Australia</w:t>
      </w:r>
      <w:r w:rsidR="0044339B" w:rsidRPr="00755D7D">
        <w:t>’</w:t>
      </w:r>
      <w:r w:rsidRPr="00755D7D">
        <w:t>s financial regulatory framework</w:t>
      </w:r>
      <w:r w:rsidR="00494F86" w:rsidRPr="00755D7D">
        <w:t xml:space="preserve">. </w:t>
      </w:r>
      <w:r w:rsidR="00F945CA" w:rsidRPr="00755D7D">
        <w:t xml:space="preserve">CALDB will </w:t>
      </w:r>
      <w:r w:rsidR="00D3071F" w:rsidRPr="00755D7D">
        <w:t xml:space="preserve">continue to use the process of reviewing and updating </w:t>
      </w:r>
      <w:r w:rsidR="00F945CA" w:rsidRPr="00755D7D">
        <w:t>its</w:t>
      </w:r>
      <w:r w:rsidR="00D3071F" w:rsidRPr="00755D7D">
        <w:t xml:space="preserve"> procedures as an opportunity for contin</w:t>
      </w:r>
      <w:r w:rsidR="00E621BC" w:rsidRPr="00755D7D">
        <w:t>ual improvement in this regard.</w:t>
      </w:r>
    </w:p>
    <w:p w14:paraId="29D36836" w14:textId="77777777" w:rsidR="00E40549" w:rsidRPr="00755D7D" w:rsidRDefault="00E40549" w:rsidP="003B554F">
      <w:pPr>
        <w:pStyle w:val="CAR-BodyText-Left"/>
        <w:spacing w:after="120"/>
      </w:pPr>
      <w:r w:rsidRPr="00755D7D">
        <w:t xml:space="preserve">Howard </w:t>
      </w:r>
      <w:proofErr w:type="spellStart"/>
      <w:r w:rsidRPr="00755D7D">
        <w:t>Insall</w:t>
      </w:r>
      <w:proofErr w:type="spellEnd"/>
      <w:r w:rsidRPr="00755D7D">
        <w:t xml:space="preserve"> SC</w:t>
      </w:r>
    </w:p>
    <w:p w14:paraId="2E51BB7B" w14:textId="77777777" w:rsidR="002524C7" w:rsidRDefault="00E40549" w:rsidP="006E37E2">
      <w:pPr>
        <w:pStyle w:val="CAR-BodyText-Left"/>
      </w:pPr>
      <w:r w:rsidRPr="00755D7D">
        <w:t>Chairperson</w:t>
      </w:r>
    </w:p>
    <w:p w14:paraId="74CBE209" w14:textId="77777777" w:rsidR="00611390" w:rsidRPr="00755D7D" w:rsidRDefault="00611390" w:rsidP="006E37E2">
      <w:pPr>
        <w:pStyle w:val="CAR-BodyText-Left"/>
      </w:pPr>
    </w:p>
    <w:p w14:paraId="10922BB0" w14:textId="77777777" w:rsidR="00B07D95" w:rsidRDefault="00B07D95" w:rsidP="006E37E2">
      <w:pPr>
        <w:pStyle w:val="Heading1"/>
        <w:sectPr w:rsidR="00B07D95" w:rsidSect="000450F5">
          <w:headerReference w:type="default" r:id="rId26"/>
          <w:footerReference w:type="default" r:id="rId27"/>
          <w:type w:val="oddPage"/>
          <w:pgSz w:w="11907" w:h="16834" w:code="9"/>
          <w:pgMar w:top="2466" w:right="2098" w:bottom="2466" w:left="2098" w:header="1899" w:footer="1899" w:gutter="0"/>
          <w:pgNumType w:start="1"/>
          <w:cols w:space="720"/>
          <w:docGrid w:linePitch="326"/>
        </w:sectPr>
      </w:pPr>
    </w:p>
    <w:p w14:paraId="52A2B5C9" w14:textId="77777777" w:rsidR="00096908" w:rsidRPr="00755D7D" w:rsidRDefault="008C3AA5" w:rsidP="006E37E2">
      <w:pPr>
        <w:pStyle w:val="Heading1"/>
      </w:pPr>
      <w:bookmarkStart w:id="3" w:name="_Toc395079001"/>
      <w:r w:rsidRPr="00755D7D">
        <w:lastRenderedPageBreak/>
        <w:t>Board</w:t>
      </w:r>
      <w:r w:rsidR="002E0DCD" w:rsidRPr="00755D7D">
        <w:t xml:space="preserve"> Overview</w:t>
      </w:r>
      <w:bookmarkEnd w:id="3"/>
    </w:p>
    <w:p w14:paraId="4724B85C" w14:textId="77777777" w:rsidR="00366DC9" w:rsidRPr="00755D7D" w:rsidRDefault="006516ED" w:rsidP="006E37E2">
      <w:pPr>
        <w:pStyle w:val="Heading2"/>
      </w:pPr>
      <w:bookmarkStart w:id="4" w:name="_Toc395079002"/>
      <w:r w:rsidRPr="00755D7D">
        <w:t xml:space="preserve">Role and </w:t>
      </w:r>
      <w:r w:rsidR="00F073B9" w:rsidRPr="00755D7D">
        <w:t>f</w:t>
      </w:r>
      <w:r w:rsidRPr="00755D7D">
        <w:t>unction</w:t>
      </w:r>
      <w:r w:rsidR="00366DC9" w:rsidRPr="00755D7D">
        <w:t>s</w:t>
      </w:r>
      <w:bookmarkEnd w:id="4"/>
    </w:p>
    <w:p w14:paraId="66C1812E" w14:textId="77777777" w:rsidR="00096908" w:rsidRPr="00755D7D" w:rsidRDefault="00A7150E" w:rsidP="006E37E2">
      <w:pPr>
        <w:pStyle w:val="CAR-BodyText-Left"/>
      </w:pPr>
      <w:r w:rsidRPr="00755D7D">
        <w:t xml:space="preserve">CALDB is an independent statutory body established </w:t>
      </w:r>
      <w:r w:rsidR="0039258B" w:rsidRPr="00755D7D">
        <w:t xml:space="preserve">under </w:t>
      </w:r>
      <w:r w:rsidRPr="00755D7D">
        <w:t xml:space="preserve">Part 11 of the ASIC Act with the powers and functions provided in Part 9.2 of the </w:t>
      </w:r>
      <w:r w:rsidRPr="00755D7D">
        <w:rPr>
          <w:i/>
          <w:iCs/>
        </w:rPr>
        <w:t xml:space="preserve">Corporations Act 2001 </w:t>
      </w:r>
      <w:r w:rsidRPr="00755D7D">
        <w:rPr>
          <w:iCs/>
        </w:rPr>
        <w:t>(Corporations Act)</w:t>
      </w:r>
      <w:r w:rsidR="00DD3298" w:rsidRPr="00755D7D">
        <w:rPr>
          <w:iCs/>
        </w:rPr>
        <w:t xml:space="preserve"> and Part 11 of the </w:t>
      </w:r>
      <w:r w:rsidR="009D7BF7" w:rsidRPr="00755D7D">
        <w:t>ASIC Act</w:t>
      </w:r>
      <w:r w:rsidR="00494F86" w:rsidRPr="00755D7D">
        <w:t xml:space="preserve">. </w:t>
      </w:r>
      <w:r w:rsidR="00096908" w:rsidRPr="00755D7D">
        <w:t>The Minister responsible for CALDB is the Treasurer</w:t>
      </w:r>
      <w:r w:rsidR="00511DDD" w:rsidRPr="00755D7D">
        <w:t xml:space="preserve"> (The Minister)</w:t>
      </w:r>
      <w:r w:rsidR="00096908" w:rsidRPr="00755D7D">
        <w:t>.</w:t>
      </w:r>
    </w:p>
    <w:p w14:paraId="2885A0CC" w14:textId="77777777" w:rsidR="00096908" w:rsidRPr="00755D7D" w:rsidRDefault="00096908" w:rsidP="006E37E2">
      <w:pPr>
        <w:pStyle w:val="CAR-BodyText-Left"/>
      </w:pPr>
      <w:r w:rsidRPr="00755D7D">
        <w:t>CALDB, along with several other bodies,</w:t>
      </w:r>
      <w:r w:rsidR="00A93B96" w:rsidRPr="00755D7D">
        <w:t xml:space="preserve"> including ASIC,</w:t>
      </w:r>
      <w:r w:rsidRPr="00755D7D">
        <w:t xml:space="preserve"> the Australian Prudential Regulation Authority (APRA), the Financial Reporting Council and various professional associations, plays an important role for the Australian economy in the regulation of auditors and liquidators.</w:t>
      </w:r>
    </w:p>
    <w:p w14:paraId="297678D8" w14:textId="77777777" w:rsidR="00096908" w:rsidRPr="00755D7D" w:rsidRDefault="00096908" w:rsidP="006E37E2">
      <w:pPr>
        <w:pStyle w:val="CAR-BodyText-Left"/>
      </w:pPr>
      <w:r w:rsidRPr="00755D7D">
        <w:t xml:space="preserve">The primary role of </w:t>
      </w:r>
      <w:r w:rsidR="0039258B" w:rsidRPr="00755D7D">
        <w:t>CALDB</w:t>
      </w:r>
      <w:r w:rsidRPr="00755D7D">
        <w:t xml:space="preserve"> is to act as an expert </w:t>
      </w:r>
      <w:r w:rsidR="00A7150E" w:rsidRPr="00755D7D">
        <w:t xml:space="preserve">disciplinary </w:t>
      </w:r>
      <w:r w:rsidRPr="00755D7D">
        <w:t xml:space="preserve">tribunal to consider applications for the cancellation or suspension of the registration of auditors or liquidators under the provisions of the </w:t>
      </w:r>
      <w:r w:rsidR="009D7BF7" w:rsidRPr="00755D7D">
        <w:t>Corporations Act</w:t>
      </w:r>
      <w:r w:rsidR="00494F86" w:rsidRPr="00755D7D">
        <w:t xml:space="preserve">. </w:t>
      </w:r>
      <w:r w:rsidRPr="00755D7D">
        <w:t xml:space="preserve">CALDB has no power to instigate applications. Applications </w:t>
      </w:r>
      <w:r w:rsidR="008C3AA5" w:rsidRPr="00755D7D">
        <w:t xml:space="preserve">may be </w:t>
      </w:r>
      <w:r w:rsidRPr="00755D7D">
        <w:t>brought to CALDB by ASIC or APRA</w:t>
      </w:r>
      <w:r w:rsidR="008C3AA5" w:rsidRPr="00755D7D">
        <w:t xml:space="preserve"> although CALDB has never received an application from APRA</w:t>
      </w:r>
      <w:r w:rsidRPr="00755D7D">
        <w:t>.</w:t>
      </w:r>
    </w:p>
    <w:p w14:paraId="4106BBED" w14:textId="77777777" w:rsidR="00096908" w:rsidRPr="00755D7D" w:rsidRDefault="00A7150E" w:rsidP="00000B2E">
      <w:pPr>
        <w:pStyle w:val="CAR-BodyText-Left"/>
        <w:spacing w:after="120"/>
      </w:pPr>
      <w:r w:rsidRPr="00755D7D">
        <w:t>On an application brought before it in relation to a registered au</w:t>
      </w:r>
      <w:r w:rsidR="007F06E6" w:rsidRPr="00755D7D">
        <w:t>ditor or registered liquidator, C</w:t>
      </w:r>
      <w:r w:rsidR="00096908" w:rsidRPr="00755D7D">
        <w:t>ALDB may impose sanctions</w:t>
      </w:r>
      <w:r w:rsidR="00F945CA" w:rsidRPr="00755D7D">
        <w:t>,</w:t>
      </w:r>
      <w:r w:rsidR="00096908" w:rsidRPr="00755D7D">
        <w:t xml:space="preserve"> if satisfied</w:t>
      </w:r>
      <w:r w:rsidRPr="00755D7D">
        <w:t xml:space="preserve"> of particular matters, including that the auditor or liquidator</w:t>
      </w:r>
      <w:r w:rsidR="00096908" w:rsidRPr="00755D7D">
        <w:t>:</w:t>
      </w:r>
    </w:p>
    <w:p w14:paraId="3A645B8C" w14:textId="77777777" w:rsidR="00096908" w:rsidRPr="00755D7D" w:rsidRDefault="00096908" w:rsidP="00000B2E">
      <w:pPr>
        <w:pStyle w:val="CAR-Bullet-1"/>
        <w:spacing w:after="120"/>
      </w:pPr>
      <w:r w:rsidRPr="00755D7D">
        <w:t>has failed to carry out his or her duties or functions adequately and properly;</w:t>
      </w:r>
    </w:p>
    <w:p w14:paraId="3718EBA4" w14:textId="77777777" w:rsidR="00096908" w:rsidRPr="00755D7D" w:rsidRDefault="00096908" w:rsidP="00000B2E">
      <w:pPr>
        <w:pStyle w:val="CAR-Bullet-1"/>
        <w:spacing w:after="120"/>
      </w:pPr>
      <w:r w:rsidRPr="00755D7D">
        <w:t>is not a fit and proper person to remain registered; or</w:t>
      </w:r>
    </w:p>
    <w:p w14:paraId="5214CDFD" w14:textId="77777777" w:rsidR="00096908" w:rsidRPr="00755D7D" w:rsidRDefault="00096908" w:rsidP="006E37E2">
      <w:pPr>
        <w:pStyle w:val="CAR-Bullet-1"/>
      </w:pPr>
      <w:proofErr w:type="gramStart"/>
      <w:r w:rsidRPr="00755D7D">
        <w:t>has</w:t>
      </w:r>
      <w:proofErr w:type="gramEnd"/>
      <w:r w:rsidRPr="00755D7D">
        <w:t xml:space="preserve"> contravened certain provisions of the </w:t>
      </w:r>
      <w:r w:rsidR="009D7BF7" w:rsidRPr="00755D7D">
        <w:t>Corporations Act</w:t>
      </w:r>
      <w:r w:rsidRPr="00755D7D">
        <w:t>.</w:t>
      </w:r>
    </w:p>
    <w:p w14:paraId="032F53D5" w14:textId="77777777" w:rsidR="00096908" w:rsidRPr="00755D7D" w:rsidRDefault="00096908" w:rsidP="006E37E2">
      <w:pPr>
        <w:pStyle w:val="CAR-BodyText-Left"/>
      </w:pPr>
      <w:r w:rsidRPr="00755D7D">
        <w:t>If CALDB determines any of these matters to be established</w:t>
      </w:r>
      <w:r w:rsidR="00A7150E" w:rsidRPr="00755D7D">
        <w:t>, it may impose sanctions including orders for cancellation or suspension of the registration of auditor or liquidator</w:t>
      </w:r>
      <w:r w:rsidRPr="00755D7D">
        <w:t xml:space="preserve">. </w:t>
      </w:r>
    </w:p>
    <w:p w14:paraId="49AFBB97" w14:textId="77777777" w:rsidR="00096908" w:rsidRPr="00755D7D" w:rsidRDefault="00096908" w:rsidP="006E37E2">
      <w:pPr>
        <w:pStyle w:val="CAR-BodyText-Left"/>
      </w:pPr>
      <w:r w:rsidRPr="00755D7D">
        <w:t xml:space="preserve">The responsibilities conferred on CALDB by the </w:t>
      </w:r>
      <w:r w:rsidR="009D7BF7" w:rsidRPr="00755D7D">
        <w:t>Corporations Act</w:t>
      </w:r>
      <w:r w:rsidR="009D7BF7" w:rsidRPr="00755D7D">
        <w:rPr>
          <w:i/>
        </w:rPr>
        <w:t xml:space="preserve"> </w:t>
      </w:r>
      <w:r w:rsidRPr="00755D7D">
        <w:t>are intended to provide an incentive to registered auditors and liquidators to maintain high professional standards. CALDB</w:t>
      </w:r>
      <w:r w:rsidR="0044339B" w:rsidRPr="00755D7D">
        <w:t>’</w:t>
      </w:r>
      <w:r w:rsidR="00A7150E" w:rsidRPr="00755D7D">
        <w:t>s</w:t>
      </w:r>
      <w:r w:rsidR="0039258B" w:rsidRPr="00755D7D">
        <w:t xml:space="preserve"> jurisdiction</w:t>
      </w:r>
      <w:r w:rsidR="00A7150E" w:rsidRPr="00755D7D">
        <w:t xml:space="preserve"> to</w:t>
      </w:r>
      <w:r w:rsidRPr="00755D7D">
        <w:t xml:space="preserve"> </w:t>
      </w:r>
      <w:r w:rsidR="00A7150E" w:rsidRPr="00755D7D">
        <w:t xml:space="preserve">cancel or suspend </w:t>
      </w:r>
      <w:r w:rsidR="00BF7B63">
        <w:t>the</w:t>
      </w:r>
      <w:r w:rsidR="00A7150E" w:rsidRPr="00755D7D">
        <w:t xml:space="preserve"> registration </w:t>
      </w:r>
      <w:r w:rsidR="00BF7B63">
        <w:t xml:space="preserve">of an auditor or liquidator </w:t>
      </w:r>
      <w:r w:rsidRPr="00755D7D">
        <w:t>also has a public protective and educative role</w:t>
      </w:r>
      <w:r w:rsidR="0039258B" w:rsidRPr="00755D7D">
        <w:t>.</w:t>
      </w:r>
    </w:p>
    <w:p w14:paraId="75BC65F3" w14:textId="77777777" w:rsidR="0039258B" w:rsidRPr="00755D7D" w:rsidRDefault="0039258B" w:rsidP="006E37E2">
      <w:pPr>
        <w:pStyle w:val="CAR-BodyText-Left"/>
      </w:pPr>
      <w:r w:rsidRPr="00755D7D">
        <w:t>As a wholly independent body made up of part time professionals and business members</w:t>
      </w:r>
      <w:r w:rsidR="00021666" w:rsidRPr="00755D7D">
        <w:t xml:space="preserve"> appointed by the Minister</w:t>
      </w:r>
      <w:r w:rsidRPr="00755D7D">
        <w:t xml:space="preserve">, CALDB is able to fulfil the essential function of an independent and impartial tribunal, capable of ensuring that natural justice is accorded to parties appearing before it. </w:t>
      </w:r>
    </w:p>
    <w:p w14:paraId="57A000CE" w14:textId="77777777" w:rsidR="0039258B" w:rsidRPr="00755D7D" w:rsidRDefault="0039258B" w:rsidP="006E37E2">
      <w:pPr>
        <w:pStyle w:val="CAR-BodyText-Left"/>
      </w:pPr>
      <w:r w:rsidRPr="00755D7D">
        <w:t>As a tribunal whose procedures are designed to avoid technicality and delay, CALDB has the ability to facilitate the expeditious and cost</w:t>
      </w:r>
      <w:r w:rsidR="0044339B" w:rsidRPr="00755D7D">
        <w:noBreakHyphen/>
      </w:r>
      <w:r w:rsidRPr="00755D7D">
        <w:t xml:space="preserve">effective resolution of matters. Moreover, as an expert tribunal with the ability to assess applications by reference to </w:t>
      </w:r>
      <w:r w:rsidRPr="00755D7D">
        <w:lastRenderedPageBreak/>
        <w:t>its own expert knowledge of professional standards, CALDB is in a unique position to deal with matters without the necessity for time consuming and costly expert evidence, necessary in other tribunals or courts.</w:t>
      </w:r>
    </w:p>
    <w:p w14:paraId="304BBD79" w14:textId="77777777" w:rsidR="0039258B" w:rsidRPr="00755D7D" w:rsidRDefault="00330F7D" w:rsidP="006E37E2">
      <w:pPr>
        <w:pStyle w:val="CAR-BodyText-Left"/>
      </w:pPr>
      <w:r w:rsidRPr="00755D7D">
        <w:t>The decisions of the Board are important in identifying and upholding professional standards and applying them to particular fact situations, and they form an important aspect of the educative function of the Board.</w:t>
      </w:r>
    </w:p>
    <w:p w14:paraId="64B08E3E" w14:textId="77777777" w:rsidR="00E552BD" w:rsidRPr="00755D7D" w:rsidRDefault="00E552BD" w:rsidP="006E37E2">
      <w:pPr>
        <w:pStyle w:val="CAR-BodyText-Left"/>
      </w:pPr>
      <w:r w:rsidRPr="00755D7D">
        <w:t>CALDB continues to utilise its revised procedures in relation to new matters</w:t>
      </w:r>
      <w:r w:rsidR="00021666" w:rsidRPr="00755D7D">
        <w:t>,</w:t>
      </w:r>
      <w:r w:rsidRPr="00755D7D">
        <w:t xml:space="preserve"> resulting in applications being set down for the earliest appropriate hearing dates. CALDB continues to seek to minimise the reliance on expert evidence and as noted, is in a unique position to adopt this course, as it possesses specialist expertise permitting it to assess applications by reference to its own knowledge of professional standards.</w:t>
      </w:r>
    </w:p>
    <w:p w14:paraId="644DBEB5" w14:textId="77777777" w:rsidR="008C3AA5" w:rsidRPr="00755D7D" w:rsidRDefault="008C3AA5" w:rsidP="006E37E2">
      <w:pPr>
        <w:pStyle w:val="CAR-BodyText-Left"/>
      </w:pPr>
      <w:r w:rsidRPr="00755D7D">
        <w:t xml:space="preserve">Details of the specific procedures adopted by CALDB in relation to applications it receives and how it conducts hearings before it are set out in </w:t>
      </w:r>
      <w:r w:rsidR="005B6C28" w:rsidRPr="00755D7D">
        <w:rPr>
          <w:b/>
        </w:rPr>
        <w:t>Appendix 1</w:t>
      </w:r>
      <w:r w:rsidR="00494F86" w:rsidRPr="00755D7D">
        <w:t xml:space="preserve">. </w:t>
      </w:r>
      <w:r w:rsidRPr="00755D7D">
        <w:t xml:space="preserve">These procedures are governed by relevant provisions in Part 11 of the </w:t>
      </w:r>
      <w:r w:rsidR="009D7BF7" w:rsidRPr="00755D7D">
        <w:t>ASIC Act</w:t>
      </w:r>
      <w:r w:rsidRPr="00755D7D">
        <w:t xml:space="preserve"> and Division 5 Part 9.2 of the </w:t>
      </w:r>
      <w:r w:rsidR="009D7BF7" w:rsidRPr="00755D7D">
        <w:t>Corporations Act</w:t>
      </w:r>
      <w:r w:rsidR="006E37E2" w:rsidRPr="00755D7D">
        <w:t>.</w:t>
      </w:r>
    </w:p>
    <w:p w14:paraId="159A0BF6" w14:textId="77777777" w:rsidR="00306FBA" w:rsidRPr="00755D7D" w:rsidRDefault="006516ED" w:rsidP="006E37E2">
      <w:pPr>
        <w:pStyle w:val="Heading2"/>
      </w:pPr>
      <w:bookmarkStart w:id="5" w:name="_Toc395079003"/>
      <w:r w:rsidRPr="00755D7D">
        <w:t>Constitution of CALDB and current Board membership</w:t>
      </w:r>
      <w:bookmarkEnd w:id="5"/>
    </w:p>
    <w:p w14:paraId="51C9868D" w14:textId="77777777" w:rsidR="00306FBA" w:rsidRPr="00755D7D" w:rsidRDefault="00E552BD" w:rsidP="00000B2E">
      <w:pPr>
        <w:pStyle w:val="CAR-BodyText-Left"/>
        <w:spacing w:after="120"/>
      </w:pPr>
      <w:r w:rsidRPr="00755D7D">
        <w:t>Section 203 of t</w:t>
      </w:r>
      <w:r w:rsidR="00BF2E91" w:rsidRPr="00755D7D">
        <w:t>he</w:t>
      </w:r>
      <w:r w:rsidR="00306FBA" w:rsidRPr="00755D7D">
        <w:t xml:space="preserve"> </w:t>
      </w:r>
      <w:r w:rsidR="009D7BF7" w:rsidRPr="00755D7D">
        <w:t>ASIC Act</w:t>
      </w:r>
      <w:r w:rsidR="002E0861" w:rsidRPr="00755D7D">
        <w:t xml:space="preserve"> provides that the </w:t>
      </w:r>
      <w:r w:rsidR="00527FE1" w:rsidRPr="00755D7D">
        <w:t xml:space="preserve">CALDB </w:t>
      </w:r>
      <w:r w:rsidR="00306FBA" w:rsidRPr="00755D7D">
        <w:t>consist</w:t>
      </w:r>
      <w:r w:rsidR="00BF2E91" w:rsidRPr="00755D7D">
        <w:t>s</w:t>
      </w:r>
      <w:r w:rsidR="00306FBA" w:rsidRPr="00755D7D">
        <w:t xml:space="preserve"> of the following:</w:t>
      </w:r>
    </w:p>
    <w:p w14:paraId="3B3BB32D" w14:textId="77777777" w:rsidR="00306FBA" w:rsidRPr="00755D7D" w:rsidRDefault="007B2692" w:rsidP="00000B2E">
      <w:pPr>
        <w:pStyle w:val="CAR-Flush-Alpha-Lower"/>
        <w:spacing w:after="120"/>
      </w:pPr>
      <w:r w:rsidRPr="00755D7D">
        <w:t>a</w:t>
      </w:r>
      <w:r w:rsidR="002E0861" w:rsidRPr="00755D7D">
        <w:t xml:space="preserve"> </w:t>
      </w:r>
      <w:r w:rsidR="00306FBA" w:rsidRPr="00755D7D">
        <w:t>Chairperson;</w:t>
      </w:r>
    </w:p>
    <w:p w14:paraId="7C55AB06" w14:textId="77777777" w:rsidR="00306FBA" w:rsidRPr="00755D7D" w:rsidRDefault="007B2692" w:rsidP="00000B2E">
      <w:pPr>
        <w:pStyle w:val="CAR-Flush-Alpha-Lower"/>
        <w:spacing w:after="120"/>
      </w:pPr>
      <w:r w:rsidRPr="00755D7D">
        <w:t>a</w:t>
      </w:r>
      <w:r w:rsidR="002E0861" w:rsidRPr="00755D7D">
        <w:t xml:space="preserve"> </w:t>
      </w:r>
      <w:r w:rsidR="00306FBA" w:rsidRPr="00755D7D">
        <w:t>Deputy Chairperson;</w:t>
      </w:r>
    </w:p>
    <w:p w14:paraId="7D8EF1AC" w14:textId="77777777" w:rsidR="00306FBA" w:rsidRPr="00755D7D" w:rsidRDefault="00306FBA" w:rsidP="00000B2E">
      <w:pPr>
        <w:pStyle w:val="CAR-Flush-Alpha-Lower"/>
        <w:spacing w:after="120"/>
      </w:pPr>
      <w:r w:rsidRPr="00755D7D">
        <w:t>six accounting members selected by the Minister; and</w:t>
      </w:r>
    </w:p>
    <w:p w14:paraId="6FDA5449" w14:textId="77777777" w:rsidR="00306FBA" w:rsidRPr="00755D7D" w:rsidRDefault="00306FBA" w:rsidP="003B554F">
      <w:pPr>
        <w:pStyle w:val="CAR-Flush-Alpha-Lower"/>
        <w:spacing w:after="240"/>
      </w:pPr>
      <w:proofErr w:type="gramStart"/>
      <w:r w:rsidRPr="00755D7D">
        <w:t>six</w:t>
      </w:r>
      <w:proofErr w:type="gramEnd"/>
      <w:r w:rsidRPr="00755D7D">
        <w:t xml:space="preserve"> business members selected by the Minister.</w:t>
      </w:r>
    </w:p>
    <w:p w14:paraId="25E057A7" w14:textId="77777777" w:rsidR="00F2231C" w:rsidRPr="00755D7D" w:rsidRDefault="00306FBA" w:rsidP="006E37E2">
      <w:pPr>
        <w:pStyle w:val="CAR-BodyText-Left"/>
      </w:pPr>
      <w:r w:rsidRPr="00755D7D">
        <w:t xml:space="preserve">The Chairperson and the Deputy Chairperson must each be enrolled as a barrister, as a solicitor, or as a barrister and solicitor or as a legal practitioner of the High Court, any Federal Court or the Supreme Court of a State or Territory and must have been so enrolled for a period of at least five years. </w:t>
      </w:r>
    </w:p>
    <w:p w14:paraId="2A8F6122" w14:textId="77777777" w:rsidR="00F2231C" w:rsidRPr="00755D7D" w:rsidRDefault="00306FBA" w:rsidP="006E37E2">
      <w:pPr>
        <w:pStyle w:val="CAR-BodyText-Left"/>
      </w:pPr>
      <w:r w:rsidRPr="00755D7D">
        <w:t xml:space="preserve">Accounting members are required to be a resident of Australia and a member of a professional accounting body or any other body prescribed by regulation. </w:t>
      </w:r>
    </w:p>
    <w:p w14:paraId="598E296B" w14:textId="77777777" w:rsidR="00306FBA" w:rsidRPr="00755D7D" w:rsidRDefault="00306FBA" w:rsidP="006E37E2">
      <w:pPr>
        <w:pStyle w:val="CAR-BodyText-Left"/>
      </w:pPr>
      <w:r w:rsidRPr="00755D7D">
        <w:t>Business members represent the business community and have qualifications, knowledge or experience in business or commerce, the administration of companies, financial markets, financial products and services, economics or law.</w:t>
      </w:r>
    </w:p>
    <w:p w14:paraId="3DD7E66E" w14:textId="77777777" w:rsidR="00306FBA" w:rsidRPr="00755D7D" w:rsidRDefault="00306FBA" w:rsidP="006E37E2">
      <w:pPr>
        <w:pStyle w:val="CAR-BodyText-Left"/>
      </w:pPr>
      <w:r w:rsidRPr="00755D7D">
        <w:t xml:space="preserve">All appointments are made by the Minister and are </w:t>
      </w:r>
      <w:r w:rsidR="00715366" w:rsidRPr="00755D7D">
        <w:t>part</w:t>
      </w:r>
      <w:r w:rsidR="0044339B" w:rsidRPr="00755D7D">
        <w:noBreakHyphen/>
      </w:r>
      <w:r w:rsidR="00715366" w:rsidRPr="00755D7D">
        <w:t>time</w:t>
      </w:r>
      <w:r w:rsidRPr="00755D7D">
        <w:t xml:space="preserve"> appointments. Appointments are for a period of no longer than three years. The appointees are eligible for re</w:t>
      </w:r>
      <w:r w:rsidR="0044339B" w:rsidRPr="00755D7D">
        <w:noBreakHyphen/>
      </w:r>
      <w:r w:rsidRPr="00755D7D">
        <w:t>appointment.</w:t>
      </w:r>
    </w:p>
    <w:p w14:paraId="1EAFEDC5" w14:textId="77777777" w:rsidR="002E0DCD" w:rsidRPr="00755D7D" w:rsidRDefault="002E0DCD" w:rsidP="006E37E2">
      <w:pPr>
        <w:pStyle w:val="CAR-BodyText-Left"/>
      </w:pPr>
      <w:r w:rsidRPr="00755D7D">
        <w:lastRenderedPageBreak/>
        <w:t xml:space="preserve">Section 210A of the </w:t>
      </w:r>
      <w:r w:rsidR="009D7BF7" w:rsidRPr="00755D7D">
        <w:t>ASIC Act</w:t>
      </w:r>
      <w:r w:rsidRPr="00755D7D">
        <w:t xml:space="preserve"> provides that panels convened to hear applications must be constituted by either </w:t>
      </w:r>
      <w:r w:rsidR="003B554F" w:rsidRPr="00755D7D">
        <w:t>five</w:t>
      </w:r>
      <w:r w:rsidRPr="00755D7D">
        <w:t xml:space="preserve"> members or three members, including either the Chair or the Deputy Chair as the panel chair, and either one or two business members and one or two account</w:t>
      </w:r>
      <w:r w:rsidR="00E621BC" w:rsidRPr="00755D7D">
        <w:t>ing members as the case may be.</w:t>
      </w:r>
    </w:p>
    <w:p w14:paraId="5E414FF1" w14:textId="77777777" w:rsidR="00615C01" w:rsidRPr="00755D7D" w:rsidRDefault="00615C01" w:rsidP="006E37E2">
      <w:pPr>
        <w:pStyle w:val="CAR-BodyText-Left"/>
      </w:pPr>
      <w:r w:rsidRPr="00755D7D">
        <w:t>Board members during the reporting year:</w:t>
      </w:r>
    </w:p>
    <w:tbl>
      <w:tblPr>
        <w:tblW w:w="4828" w:type="pct"/>
        <w:tblInd w:w="108" w:type="dxa"/>
        <w:tblBorders>
          <w:top w:val="single" w:sz="2" w:space="0" w:color="000080"/>
          <w:bottom w:val="single" w:sz="2" w:space="0" w:color="000080"/>
        </w:tblBorders>
        <w:tblLook w:val="01E0" w:firstRow="1" w:lastRow="1" w:firstColumn="1" w:lastColumn="1" w:noHBand="0" w:noVBand="0"/>
      </w:tblPr>
      <w:tblGrid>
        <w:gridCol w:w="2547"/>
        <w:gridCol w:w="2982"/>
        <w:gridCol w:w="2125"/>
      </w:tblGrid>
      <w:tr w:rsidR="00615C01" w:rsidRPr="00755D7D" w14:paraId="70F32858" w14:textId="77777777" w:rsidTr="00000B2E">
        <w:trPr>
          <w:trHeight w:val="283"/>
          <w:tblHeader/>
        </w:trPr>
        <w:tc>
          <w:tcPr>
            <w:tcW w:w="1664" w:type="pct"/>
            <w:tcBorders>
              <w:top w:val="single" w:sz="2" w:space="0" w:color="000080"/>
              <w:bottom w:val="single" w:sz="2" w:space="0" w:color="000080"/>
            </w:tcBorders>
            <w:shd w:val="clear" w:color="auto" w:fill="D5D5FF"/>
            <w:vAlign w:val="center"/>
          </w:tcPr>
          <w:p w14:paraId="0AA4C54B" w14:textId="77777777" w:rsidR="00615C01" w:rsidRPr="00755D7D" w:rsidRDefault="00615C01" w:rsidP="003B554F">
            <w:pPr>
              <w:pStyle w:val="CAR-TableColHead-Left"/>
            </w:pPr>
            <w:r w:rsidRPr="00755D7D">
              <w:t>Name</w:t>
            </w:r>
          </w:p>
        </w:tc>
        <w:tc>
          <w:tcPr>
            <w:tcW w:w="1948" w:type="pct"/>
            <w:tcBorders>
              <w:top w:val="single" w:sz="2" w:space="0" w:color="000080"/>
              <w:bottom w:val="single" w:sz="2" w:space="0" w:color="000080"/>
            </w:tcBorders>
            <w:shd w:val="clear" w:color="auto" w:fill="D5D5FF"/>
            <w:vAlign w:val="center"/>
          </w:tcPr>
          <w:p w14:paraId="6E318192" w14:textId="77777777" w:rsidR="00615C01" w:rsidRPr="00755D7D" w:rsidRDefault="00615C01" w:rsidP="003B554F">
            <w:pPr>
              <w:pStyle w:val="CAR-TableColHead-Left"/>
            </w:pPr>
            <w:r w:rsidRPr="00755D7D">
              <w:t>Role</w:t>
            </w:r>
          </w:p>
        </w:tc>
        <w:tc>
          <w:tcPr>
            <w:tcW w:w="1388" w:type="pct"/>
            <w:tcBorders>
              <w:top w:val="single" w:sz="2" w:space="0" w:color="000080"/>
              <w:bottom w:val="single" w:sz="2" w:space="0" w:color="000080"/>
            </w:tcBorders>
            <w:shd w:val="clear" w:color="auto" w:fill="D5D5FF"/>
            <w:vAlign w:val="center"/>
          </w:tcPr>
          <w:p w14:paraId="7C44A822" w14:textId="77777777" w:rsidR="00615C01" w:rsidRPr="00755D7D" w:rsidRDefault="00615C01" w:rsidP="003B554F">
            <w:pPr>
              <w:pStyle w:val="CAR-TableColHead-Right"/>
            </w:pPr>
            <w:r w:rsidRPr="00755D7D">
              <w:t>Term expires/expired</w:t>
            </w:r>
          </w:p>
        </w:tc>
      </w:tr>
      <w:tr w:rsidR="00615C01" w:rsidRPr="00755D7D" w14:paraId="74953D18" w14:textId="77777777" w:rsidTr="00000B2E">
        <w:tc>
          <w:tcPr>
            <w:tcW w:w="1664" w:type="pct"/>
            <w:tcBorders>
              <w:top w:val="single" w:sz="2" w:space="0" w:color="000080"/>
              <w:bottom w:val="nil"/>
              <w:right w:val="nil"/>
            </w:tcBorders>
          </w:tcPr>
          <w:p w14:paraId="3B5FABE2" w14:textId="77777777" w:rsidR="00615C01" w:rsidRPr="00755D7D" w:rsidRDefault="00615C01" w:rsidP="00615C01">
            <w:pPr>
              <w:pStyle w:val="CAR-TableText-Left"/>
            </w:pPr>
            <w:r w:rsidRPr="00755D7D">
              <w:t xml:space="preserve">Howard </w:t>
            </w:r>
            <w:proofErr w:type="spellStart"/>
            <w:r w:rsidRPr="00755D7D">
              <w:t>Insall</w:t>
            </w:r>
            <w:proofErr w:type="spellEnd"/>
            <w:r w:rsidRPr="00755D7D">
              <w:t xml:space="preserve"> SC</w:t>
            </w:r>
          </w:p>
        </w:tc>
        <w:tc>
          <w:tcPr>
            <w:tcW w:w="1948" w:type="pct"/>
            <w:tcBorders>
              <w:top w:val="single" w:sz="2" w:space="0" w:color="000080"/>
              <w:left w:val="nil"/>
              <w:bottom w:val="nil"/>
              <w:right w:val="nil"/>
            </w:tcBorders>
          </w:tcPr>
          <w:p w14:paraId="6051D6F0" w14:textId="77777777" w:rsidR="00615C01" w:rsidRPr="00755D7D" w:rsidRDefault="00615C01" w:rsidP="00615C01">
            <w:pPr>
              <w:pStyle w:val="CAR-TableText-Left"/>
            </w:pPr>
            <w:r w:rsidRPr="00755D7D">
              <w:t xml:space="preserve">Chairperson </w:t>
            </w:r>
          </w:p>
        </w:tc>
        <w:tc>
          <w:tcPr>
            <w:tcW w:w="1388" w:type="pct"/>
            <w:tcBorders>
              <w:top w:val="single" w:sz="2" w:space="0" w:color="000080"/>
              <w:left w:val="nil"/>
              <w:bottom w:val="nil"/>
            </w:tcBorders>
          </w:tcPr>
          <w:p w14:paraId="3EAFAD39" w14:textId="77777777" w:rsidR="002524C7" w:rsidRPr="00755D7D" w:rsidRDefault="00615C01">
            <w:pPr>
              <w:pStyle w:val="CAR-TableText-Right"/>
              <w:rPr>
                <w:color w:val="000000"/>
              </w:rPr>
            </w:pPr>
            <w:r w:rsidRPr="00755D7D">
              <w:t xml:space="preserve">30 </w:t>
            </w:r>
            <w:r w:rsidR="004621B2" w:rsidRPr="00755D7D">
              <w:t>August</w:t>
            </w:r>
            <w:r w:rsidR="0061109C" w:rsidRPr="00755D7D">
              <w:t xml:space="preserve"> </w:t>
            </w:r>
            <w:r w:rsidRPr="00755D7D">
              <w:t>201</w:t>
            </w:r>
            <w:r w:rsidR="0061109C" w:rsidRPr="00755D7D">
              <w:t>4</w:t>
            </w:r>
          </w:p>
        </w:tc>
      </w:tr>
      <w:tr w:rsidR="006549D7" w:rsidRPr="00755D7D" w14:paraId="49A9D5C8" w14:textId="77777777" w:rsidTr="00000B2E">
        <w:tc>
          <w:tcPr>
            <w:tcW w:w="1664" w:type="pct"/>
            <w:tcBorders>
              <w:top w:val="nil"/>
              <w:bottom w:val="nil"/>
              <w:right w:val="nil"/>
            </w:tcBorders>
          </w:tcPr>
          <w:p w14:paraId="1C55B64F" w14:textId="77777777" w:rsidR="006549D7" w:rsidRPr="00755D7D" w:rsidRDefault="0061109C" w:rsidP="00615C01">
            <w:pPr>
              <w:pStyle w:val="CAR-TableText-Left"/>
            </w:pPr>
            <w:r w:rsidRPr="00755D7D">
              <w:t xml:space="preserve">Maria </w:t>
            </w:r>
            <w:proofErr w:type="spellStart"/>
            <w:r w:rsidRPr="00755D7D">
              <w:t>McCrossin</w:t>
            </w:r>
            <w:proofErr w:type="spellEnd"/>
          </w:p>
        </w:tc>
        <w:tc>
          <w:tcPr>
            <w:tcW w:w="1948" w:type="pct"/>
            <w:tcBorders>
              <w:top w:val="nil"/>
              <w:left w:val="nil"/>
              <w:bottom w:val="nil"/>
              <w:right w:val="nil"/>
            </w:tcBorders>
          </w:tcPr>
          <w:p w14:paraId="1F3FC074" w14:textId="77777777" w:rsidR="006549D7" w:rsidRPr="00755D7D" w:rsidRDefault="006549D7" w:rsidP="00615C01">
            <w:pPr>
              <w:pStyle w:val="CAR-TableText-Left"/>
            </w:pPr>
            <w:r w:rsidRPr="00755D7D">
              <w:t>Deputy Chairperson</w:t>
            </w:r>
          </w:p>
        </w:tc>
        <w:tc>
          <w:tcPr>
            <w:tcW w:w="1388" w:type="pct"/>
            <w:tcBorders>
              <w:top w:val="nil"/>
              <w:left w:val="nil"/>
              <w:bottom w:val="nil"/>
            </w:tcBorders>
          </w:tcPr>
          <w:p w14:paraId="6BC6EE1E" w14:textId="77777777" w:rsidR="002524C7" w:rsidRPr="00755D7D" w:rsidRDefault="0061109C">
            <w:pPr>
              <w:pStyle w:val="CAR-TableText-Right"/>
              <w:rPr>
                <w:color w:val="000000"/>
              </w:rPr>
            </w:pPr>
            <w:r w:rsidRPr="00755D7D">
              <w:t xml:space="preserve">5 August </w:t>
            </w:r>
            <w:r w:rsidR="006549D7" w:rsidRPr="00755D7D">
              <w:t>201</w:t>
            </w:r>
            <w:r w:rsidRPr="00755D7D">
              <w:t>6</w:t>
            </w:r>
          </w:p>
        </w:tc>
      </w:tr>
      <w:tr w:rsidR="006549D7" w:rsidRPr="00755D7D" w14:paraId="769F86F5" w14:textId="77777777" w:rsidTr="00000B2E">
        <w:trPr>
          <w:cantSplit/>
        </w:trPr>
        <w:tc>
          <w:tcPr>
            <w:tcW w:w="1664" w:type="pct"/>
            <w:tcBorders>
              <w:top w:val="nil"/>
              <w:bottom w:val="nil"/>
            </w:tcBorders>
          </w:tcPr>
          <w:p w14:paraId="137B2E41" w14:textId="77777777" w:rsidR="006549D7" w:rsidRPr="00755D7D" w:rsidRDefault="006549D7" w:rsidP="00615C01">
            <w:pPr>
              <w:pStyle w:val="CAR-TableText-Left"/>
            </w:pPr>
            <w:r w:rsidRPr="00755D7D">
              <w:t xml:space="preserve">Judith </w:t>
            </w:r>
            <w:proofErr w:type="spellStart"/>
            <w:r w:rsidRPr="00755D7D">
              <w:t>Downes</w:t>
            </w:r>
            <w:proofErr w:type="spellEnd"/>
          </w:p>
        </w:tc>
        <w:tc>
          <w:tcPr>
            <w:tcW w:w="1948" w:type="pct"/>
            <w:tcBorders>
              <w:top w:val="nil"/>
              <w:bottom w:val="nil"/>
            </w:tcBorders>
          </w:tcPr>
          <w:p w14:paraId="77AA29DC" w14:textId="77777777" w:rsidR="006549D7" w:rsidRPr="00755D7D" w:rsidRDefault="006549D7" w:rsidP="00615C01">
            <w:pPr>
              <w:pStyle w:val="CAR-TableText-Left"/>
            </w:pPr>
            <w:r w:rsidRPr="00755D7D">
              <w:t>Accounting member</w:t>
            </w:r>
          </w:p>
        </w:tc>
        <w:tc>
          <w:tcPr>
            <w:tcW w:w="1388" w:type="pct"/>
            <w:tcBorders>
              <w:top w:val="nil"/>
              <w:bottom w:val="nil"/>
            </w:tcBorders>
          </w:tcPr>
          <w:p w14:paraId="5614CA3E" w14:textId="77777777" w:rsidR="006549D7" w:rsidRPr="00755D7D" w:rsidRDefault="006549D7" w:rsidP="00615C01">
            <w:pPr>
              <w:pStyle w:val="CAR-TableText-Right"/>
            </w:pPr>
            <w:r w:rsidRPr="00755D7D">
              <w:t>14 December 2015</w:t>
            </w:r>
          </w:p>
        </w:tc>
      </w:tr>
      <w:tr w:rsidR="00615C01" w:rsidRPr="00755D7D" w14:paraId="0EC72694" w14:textId="77777777" w:rsidTr="00000B2E">
        <w:tc>
          <w:tcPr>
            <w:tcW w:w="1664" w:type="pct"/>
            <w:tcBorders>
              <w:top w:val="nil"/>
            </w:tcBorders>
          </w:tcPr>
          <w:p w14:paraId="61096E6C" w14:textId="77777777" w:rsidR="00615C01" w:rsidRPr="00755D7D" w:rsidRDefault="00615C01" w:rsidP="00615C01">
            <w:pPr>
              <w:pStyle w:val="CAR-TableText-Left"/>
            </w:pPr>
            <w:r w:rsidRPr="00755D7D">
              <w:t>Robert Ferguson</w:t>
            </w:r>
          </w:p>
        </w:tc>
        <w:tc>
          <w:tcPr>
            <w:tcW w:w="1948" w:type="pct"/>
            <w:tcBorders>
              <w:top w:val="nil"/>
            </w:tcBorders>
          </w:tcPr>
          <w:p w14:paraId="41DE0405" w14:textId="77777777" w:rsidR="00615C01" w:rsidRPr="00755D7D" w:rsidRDefault="00615C01" w:rsidP="00615C01">
            <w:pPr>
              <w:pStyle w:val="CAR-TableText-Left"/>
            </w:pPr>
            <w:r w:rsidRPr="00755D7D">
              <w:t xml:space="preserve">Accounting member </w:t>
            </w:r>
          </w:p>
        </w:tc>
        <w:tc>
          <w:tcPr>
            <w:tcW w:w="1388" w:type="pct"/>
            <w:tcBorders>
              <w:top w:val="nil"/>
            </w:tcBorders>
          </w:tcPr>
          <w:p w14:paraId="7D4D0509" w14:textId="77777777" w:rsidR="00615C01" w:rsidRPr="00755D7D" w:rsidRDefault="00615C01" w:rsidP="00615C01">
            <w:pPr>
              <w:pStyle w:val="CAR-TableText-Right"/>
            </w:pPr>
            <w:r w:rsidRPr="00755D7D">
              <w:t>28 January 2016</w:t>
            </w:r>
          </w:p>
        </w:tc>
      </w:tr>
      <w:tr w:rsidR="00615C01" w:rsidRPr="00755D7D" w14:paraId="61453B7F" w14:textId="77777777" w:rsidTr="00000B2E">
        <w:tc>
          <w:tcPr>
            <w:tcW w:w="1664" w:type="pct"/>
          </w:tcPr>
          <w:p w14:paraId="091FBC6F" w14:textId="77777777" w:rsidR="00615C01" w:rsidRPr="00755D7D" w:rsidRDefault="00615C01" w:rsidP="00615C01">
            <w:pPr>
              <w:pStyle w:val="CAR-TableText-Left"/>
            </w:pPr>
            <w:r w:rsidRPr="00755D7D">
              <w:t>George Georges</w:t>
            </w:r>
          </w:p>
        </w:tc>
        <w:tc>
          <w:tcPr>
            <w:tcW w:w="1948" w:type="pct"/>
          </w:tcPr>
          <w:p w14:paraId="218C9870" w14:textId="77777777" w:rsidR="00615C01" w:rsidRPr="00755D7D" w:rsidRDefault="00615C01" w:rsidP="00615C01">
            <w:pPr>
              <w:pStyle w:val="CAR-TableText-Left"/>
            </w:pPr>
            <w:r w:rsidRPr="00755D7D">
              <w:t>Accounting member</w:t>
            </w:r>
          </w:p>
        </w:tc>
        <w:tc>
          <w:tcPr>
            <w:tcW w:w="1388" w:type="pct"/>
          </w:tcPr>
          <w:p w14:paraId="29C0B750" w14:textId="77777777" w:rsidR="002524C7" w:rsidRPr="00755D7D" w:rsidRDefault="00615C01">
            <w:pPr>
              <w:pStyle w:val="CAR-TableText-Right"/>
              <w:rPr>
                <w:color w:val="000000"/>
              </w:rPr>
            </w:pPr>
            <w:r w:rsidRPr="00755D7D">
              <w:t xml:space="preserve">30 </w:t>
            </w:r>
            <w:r w:rsidR="004621B2" w:rsidRPr="00755D7D">
              <w:t xml:space="preserve">August </w:t>
            </w:r>
            <w:r w:rsidRPr="00755D7D">
              <w:t>201</w:t>
            </w:r>
            <w:r w:rsidR="004621B2" w:rsidRPr="00755D7D">
              <w:t>4</w:t>
            </w:r>
          </w:p>
        </w:tc>
      </w:tr>
      <w:tr w:rsidR="00615C01" w:rsidRPr="00755D7D" w14:paraId="086491F6" w14:textId="77777777" w:rsidTr="00000B2E">
        <w:tc>
          <w:tcPr>
            <w:tcW w:w="1664" w:type="pct"/>
          </w:tcPr>
          <w:p w14:paraId="38086342" w14:textId="77777777" w:rsidR="00615C01" w:rsidRPr="00755D7D" w:rsidRDefault="00615C01" w:rsidP="00615C01">
            <w:pPr>
              <w:pStyle w:val="CAR-TableText-Left"/>
            </w:pPr>
            <w:r w:rsidRPr="00755D7D">
              <w:t>Bruce Gleeson</w:t>
            </w:r>
          </w:p>
        </w:tc>
        <w:tc>
          <w:tcPr>
            <w:tcW w:w="1948" w:type="pct"/>
          </w:tcPr>
          <w:p w14:paraId="34D4B8F0" w14:textId="77777777" w:rsidR="00615C01" w:rsidRPr="00755D7D" w:rsidRDefault="00615C01" w:rsidP="00615C01">
            <w:pPr>
              <w:pStyle w:val="CAR-TableText-Left"/>
            </w:pPr>
            <w:r w:rsidRPr="00755D7D">
              <w:t>Accounting member</w:t>
            </w:r>
          </w:p>
        </w:tc>
        <w:tc>
          <w:tcPr>
            <w:tcW w:w="1388" w:type="pct"/>
          </w:tcPr>
          <w:p w14:paraId="5FC7A07C" w14:textId="77777777" w:rsidR="00615C01" w:rsidRPr="00755D7D" w:rsidRDefault="00615C01" w:rsidP="00615C01">
            <w:pPr>
              <w:pStyle w:val="CAR-TableText-Right"/>
            </w:pPr>
            <w:r w:rsidRPr="00755D7D">
              <w:t>28 January 2016</w:t>
            </w:r>
          </w:p>
        </w:tc>
      </w:tr>
      <w:tr w:rsidR="00615C01" w:rsidRPr="00755D7D" w14:paraId="158CC927" w14:textId="77777777" w:rsidTr="00000B2E">
        <w:tc>
          <w:tcPr>
            <w:tcW w:w="1664" w:type="pct"/>
          </w:tcPr>
          <w:p w14:paraId="154046D6" w14:textId="77777777" w:rsidR="00615C01" w:rsidRPr="00755D7D" w:rsidRDefault="00615C01" w:rsidP="00615C01">
            <w:pPr>
              <w:pStyle w:val="CAR-TableText-Left"/>
            </w:pPr>
            <w:r w:rsidRPr="00755D7D">
              <w:t xml:space="preserve">David Sauer </w:t>
            </w:r>
          </w:p>
        </w:tc>
        <w:tc>
          <w:tcPr>
            <w:tcW w:w="1948" w:type="pct"/>
          </w:tcPr>
          <w:p w14:paraId="5DEA499F" w14:textId="77777777" w:rsidR="00615C01" w:rsidRPr="00755D7D" w:rsidRDefault="00615C01" w:rsidP="00615C01">
            <w:pPr>
              <w:pStyle w:val="CAR-TableText-Left"/>
            </w:pPr>
            <w:r w:rsidRPr="00755D7D">
              <w:t xml:space="preserve">Accounting member </w:t>
            </w:r>
          </w:p>
        </w:tc>
        <w:tc>
          <w:tcPr>
            <w:tcW w:w="1388" w:type="pct"/>
          </w:tcPr>
          <w:p w14:paraId="0017365A" w14:textId="77777777" w:rsidR="00615C01" w:rsidRPr="00755D7D" w:rsidRDefault="00615C01" w:rsidP="00615C01">
            <w:pPr>
              <w:pStyle w:val="CAR-TableText-Right"/>
            </w:pPr>
            <w:r w:rsidRPr="00755D7D">
              <w:t>14 December 2015</w:t>
            </w:r>
          </w:p>
        </w:tc>
      </w:tr>
      <w:tr w:rsidR="00615C01" w:rsidRPr="00755D7D" w14:paraId="20442181" w14:textId="77777777" w:rsidTr="00000B2E">
        <w:tc>
          <w:tcPr>
            <w:tcW w:w="1664" w:type="pct"/>
          </w:tcPr>
          <w:p w14:paraId="550DA852" w14:textId="77777777" w:rsidR="00615C01" w:rsidRPr="00755D7D" w:rsidRDefault="00615C01" w:rsidP="00615C01">
            <w:pPr>
              <w:pStyle w:val="CAR-TableText-Left"/>
            </w:pPr>
            <w:r w:rsidRPr="00755D7D">
              <w:t xml:space="preserve">Eric </w:t>
            </w:r>
            <w:proofErr w:type="spellStart"/>
            <w:r w:rsidRPr="00755D7D">
              <w:t>Passaris</w:t>
            </w:r>
            <w:proofErr w:type="spellEnd"/>
          </w:p>
        </w:tc>
        <w:tc>
          <w:tcPr>
            <w:tcW w:w="1948" w:type="pct"/>
          </w:tcPr>
          <w:p w14:paraId="07FF4068" w14:textId="77777777" w:rsidR="00615C01" w:rsidRPr="00755D7D" w:rsidRDefault="00615C01" w:rsidP="00615C01">
            <w:pPr>
              <w:pStyle w:val="CAR-TableText-Left"/>
            </w:pPr>
            <w:r w:rsidRPr="00755D7D">
              <w:t xml:space="preserve">Accounting member </w:t>
            </w:r>
          </w:p>
        </w:tc>
        <w:tc>
          <w:tcPr>
            <w:tcW w:w="1388" w:type="pct"/>
          </w:tcPr>
          <w:p w14:paraId="66568549" w14:textId="77777777" w:rsidR="00615C01" w:rsidRPr="00755D7D" w:rsidRDefault="00615C01" w:rsidP="00615C01">
            <w:pPr>
              <w:pStyle w:val="CAR-TableText-Right"/>
            </w:pPr>
            <w:r w:rsidRPr="00755D7D">
              <w:t>28 January 2016</w:t>
            </w:r>
          </w:p>
        </w:tc>
      </w:tr>
      <w:tr w:rsidR="00615C01" w:rsidRPr="00755D7D" w14:paraId="37F88503" w14:textId="77777777" w:rsidTr="00000B2E">
        <w:tc>
          <w:tcPr>
            <w:tcW w:w="1664" w:type="pct"/>
          </w:tcPr>
          <w:p w14:paraId="70C61F7D" w14:textId="77777777" w:rsidR="00615C01" w:rsidRPr="00755D7D" w:rsidRDefault="00615C01" w:rsidP="00615C01">
            <w:pPr>
              <w:pStyle w:val="CAR-TableText-Left"/>
            </w:pPr>
            <w:r w:rsidRPr="00755D7D">
              <w:t xml:space="preserve">David Barnett </w:t>
            </w:r>
          </w:p>
        </w:tc>
        <w:tc>
          <w:tcPr>
            <w:tcW w:w="1948" w:type="pct"/>
          </w:tcPr>
          <w:p w14:paraId="7BB2DF24" w14:textId="77777777" w:rsidR="00615C01" w:rsidRPr="00755D7D" w:rsidRDefault="00615C01" w:rsidP="00615C01">
            <w:pPr>
              <w:pStyle w:val="CAR-TableText-Left"/>
            </w:pPr>
            <w:r w:rsidRPr="00755D7D">
              <w:t>Business member</w:t>
            </w:r>
          </w:p>
        </w:tc>
        <w:tc>
          <w:tcPr>
            <w:tcW w:w="1388" w:type="pct"/>
          </w:tcPr>
          <w:p w14:paraId="1827551A" w14:textId="77777777" w:rsidR="00615C01" w:rsidRPr="00755D7D" w:rsidRDefault="00615C01" w:rsidP="00615C01">
            <w:pPr>
              <w:pStyle w:val="CAR-TableText-Right"/>
            </w:pPr>
            <w:r w:rsidRPr="00755D7D">
              <w:t>30 November 2013</w:t>
            </w:r>
          </w:p>
        </w:tc>
      </w:tr>
      <w:tr w:rsidR="00615C01" w:rsidRPr="00755D7D" w14:paraId="73BA4EFA" w14:textId="77777777" w:rsidTr="00000B2E">
        <w:tc>
          <w:tcPr>
            <w:tcW w:w="1664" w:type="pct"/>
          </w:tcPr>
          <w:p w14:paraId="54139144" w14:textId="77777777" w:rsidR="00615C01" w:rsidRPr="00755D7D" w:rsidRDefault="00615C01" w:rsidP="00615C01">
            <w:pPr>
              <w:pStyle w:val="CAR-TableText-Left"/>
            </w:pPr>
            <w:r w:rsidRPr="00755D7D">
              <w:t xml:space="preserve">Tom </w:t>
            </w:r>
            <w:proofErr w:type="spellStart"/>
            <w:r w:rsidRPr="00755D7D">
              <w:t>Bostock</w:t>
            </w:r>
            <w:proofErr w:type="spellEnd"/>
            <w:r w:rsidRPr="00755D7D">
              <w:t xml:space="preserve"> </w:t>
            </w:r>
          </w:p>
        </w:tc>
        <w:tc>
          <w:tcPr>
            <w:tcW w:w="1948" w:type="pct"/>
          </w:tcPr>
          <w:p w14:paraId="0DB8BAFE" w14:textId="77777777" w:rsidR="00615C01" w:rsidRPr="00755D7D" w:rsidRDefault="00615C01" w:rsidP="00615C01">
            <w:pPr>
              <w:pStyle w:val="CAR-TableText-Left"/>
            </w:pPr>
            <w:r w:rsidRPr="00755D7D">
              <w:t>Business member</w:t>
            </w:r>
          </w:p>
        </w:tc>
        <w:tc>
          <w:tcPr>
            <w:tcW w:w="1388" w:type="pct"/>
          </w:tcPr>
          <w:p w14:paraId="02EA5B39" w14:textId="77777777" w:rsidR="00615C01" w:rsidRPr="00755D7D" w:rsidRDefault="00615C01" w:rsidP="00615C01">
            <w:pPr>
              <w:pStyle w:val="CAR-TableText-Right"/>
            </w:pPr>
            <w:r w:rsidRPr="00755D7D">
              <w:t>30 November 2013</w:t>
            </w:r>
          </w:p>
        </w:tc>
      </w:tr>
      <w:tr w:rsidR="00615C01" w:rsidRPr="00755D7D" w14:paraId="2519FE78" w14:textId="77777777" w:rsidTr="00000B2E">
        <w:tc>
          <w:tcPr>
            <w:tcW w:w="1664" w:type="pct"/>
          </w:tcPr>
          <w:p w14:paraId="4D74D2A5" w14:textId="77777777" w:rsidR="00615C01" w:rsidRPr="00755D7D" w:rsidRDefault="00615C01" w:rsidP="00615C01">
            <w:pPr>
              <w:pStyle w:val="CAR-TableText-Left"/>
            </w:pPr>
            <w:r w:rsidRPr="00755D7D">
              <w:t xml:space="preserve">Geoff </w:t>
            </w:r>
            <w:proofErr w:type="spellStart"/>
            <w:r w:rsidRPr="00755D7D">
              <w:t>Brayshaw</w:t>
            </w:r>
            <w:proofErr w:type="spellEnd"/>
            <w:r w:rsidRPr="00755D7D">
              <w:t xml:space="preserve"> AM</w:t>
            </w:r>
          </w:p>
        </w:tc>
        <w:tc>
          <w:tcPr>
            <w:tcW w:w="1948" w:type="pct"/>
          </w:tcPr>
          <w:p w14:paraId="15C1DE15" w14:textId="77777777" w:rsidR="00615C01" w:rsidRPr="00755D7D" w:rsidRDefault="00615C01" w:rsidP="00615C01">
            <w:pPr>
              <w:pStyle w:val="CAR-TableText-Left"/>
            </w:pPr>
            <w:r w:rsidRPr="00755D7D">
              <w:t>Business member</w:t>
            </w:r>
          </w:p>
        </w:tc>
        <w:tc>
          <w:tcPr>
            <w:tcW w:w="1388" w:type="pct"/>
          </w:tcPr>
          <w:p w14:paraId="497192CF" w14:textId="77777777" w:rsidR="002524C7" w:rsidRPr="00755D7D" w:rsidRDefault="00615C01">
            <w:pPr>
              <w:pStyle w:val="CAR-TableText-Right"/>
              <w:rPr>
                <w:color w:val="000000"/>
              </w:rPr>
            </w:pPr>
            <w:r w:rsidRPr="00755D7D">
              <w:t xml:space="preserve">30 </w:t>
            </w:r>
            <w:r w:rsidR="004621B2" w:rsidRPr="00755D7D">
              <w:t>August</w:t>
            </w:r>
            <w:r w:rsidR="0061109C" w:rsidRPr="00755D7D">
              <w:t xml:space="preserve"> </w:t>
            </w:r>
            <w:r w:rsidRPr="00755D7D">
              <w:t>201</w:t>
            </w:r>
            <w:r w:rsidR="0061109C" w:rsidRPr="00755D7D">
              <w:t>4</w:t>
            </w:r>
          </w:p>
        </w:tc>
      </w:tr>
      <w:tr w:rsidR="00615C01" w:rsidRPr="00755D7D" w14:paraId="55321144" w14:textId="77777777" w:rsidTr="00000B2E">
        <w:tc>
          <w:tcPr>
            <w:tcW w:w="1664" w:type="pct"/>
          </w:tcPr>
          <w:p w14:paraId="71441151" w14:textId="77777777" w:rsidR="00615C01" w:rsidRPr="00755D7D" w:rsidRDefault="00615C01" w:rsidP="00615C01">
            <w:pPr>
              <w:pStyle w:val="CAR-TableText-Left"/>
            </w:pPr>
            <w:r w:rsidRPr="00755D7D">
              <w:t xml:space="preserve">John Keeves </w:t>
            </w:r>
          </w:p>
        </w:tc>
        <w:tc>
          <w:tcPr>
            <w:tcW w:w="1948" w:type="pct"/>
          </w:tcPr>
          <w:p w14:paraId="5B593474" w14:textId="77777777" w:rsidR="00615C01" w:rsidRPr="00755D7D" w:rsidRDefault="00615C01" w:rsidP="00615C01">
            <w:pPr>
              <w:pStyle w:val="CAR-TableText-Left"/>
            </w:pPr>
            <w:r w:rsidRPr="00755D7D">
              <w:t>Business member</w:t>
            </w:r>
          </w:p>
        </w:tc>
        <w:tc>
          <w:tcPr>
            <w:tcW w:w="1388" w:type="pct"/>
          </w:tcPr>
          <w:p w14:paraId="083E32DE" w14:textId="77777777" w:rsidR="002524C7" w:rsidRPr="00755D7D" w:rsidRDefault="00615C01">
            <w:pPr>
              <w:pStyle w:val="CAR-TableText-Right"/>
              <w:rPr>
                <w:color w:val="000000"/>
              </w:rPr>
            </w:pPr>
            <w:r w:rsidRPr="00755D7D">
              <w:t xml:space="preserve">30 </w:t>
            </w:r>
            <w:r w:rsidR="0061109C" w:rsidRPr="00755D7D">
              <w:t xml:space="preserve">May </w:t>
            </w:r>
            <w:r w:rsidRPr="00755D7D">
              <w:t>201</w:t>
            </w:r>
            <w:r w:rsidR="0061109C" w:rsidRPr="00755D7D">
              <w:t>4</w:t>
            </w:r>
          </w:p>
        </w:tc>
      </w:tr>
      <w:tr w:rsidR="006549D7" w:rsidRPr="00755D7D" w14:paraId="5A9FC0CC" w14:textId="77777777" w:rsidTr="00000B2E">
        <w:tc>
          <w:tcPr>
            <w:tcW w:w="1664" w:type="pct"/>
          </w:tcPr>
          <w:p w14:paraId="7CCD3464" w14:textId="77777777" w:rsidR="006549D7" w:rsidRPr="00755D7D" w:rsidRDefault="006549D7" w:rsidP="00615C01">
            <w:pPr>
              <w:pStyle w:val="CAR-TableText-Left"/>
            </w:pPr>
            <w:r w:rsidRPr="00755D7D">
              <w:t xml:space="preserve">Karen </w:t>
            </w:r>
            <w:proofErr w:type="spellStart"/>
            <w:r w:rsidRPr="00755D7D">
              <w:t>O</w:t>
            </w:r>
            <w:r w:rsidR="0044339B" w:rsidRPr="00755D7D">
              <w:t>’</w:t>
            </w:r>
            <w:r w:rsidRPr="00755D7D">
              <w:t>Flynn</w:t>
            </w:r>
            <w:proofErr w:type="spellEnd"/>
          </w:p>
        </w:tc>
        <w:tc>
          <w:tcPr>
            <w:tcW w:w="1948" w:type="pct"/>
          </w:tcPr>
          <w:p w14:paraId="675FE699" w14:textId="77777777" w:rsidR="006549D7" w:rsidRPr="00755D7D" w:rsidRDefault="006549D7" w:rsidP="00615C01">
            <w:pPr>
              <w:pStyle w:val="CAR-TableText-Left"/>
            </w:pPr>
            <w:r w:rsidRPr="00755D7D">
              <w:t>Business member</w:t>
            </w:r>
          </w:p>
        </w:tc>
        <w:tc>
          <w:tcPr>
            <w:tcW w:w="1388" w:type="pct"/>
          </w:tcPr>
          <w:p w14:paraId="651E689A" w14:textId="77777777" w:rsidR="006549D7" w:rsidRPr="00755D7D" w:rsidRDefault="006549D7" w:rsidP="00615C01">
            <w:pPr>
              <w:pStyle w:val="CAR-TableText-Right"/>
            </w:pPr>
            <w:r w:rsidRPr="00755D7D">
              <w:t>14 December 2015</w:t>
            </w:r>
          </w:p>
        </w:tc>
      </w:tr>
      <w:tr w:rsidR="00615C01" w:rsidRPr="00755D7D" w14:paraId="22D7420A" w14:textId="77777777" w:rsidTr="00000B2E">
        <w:tc>
          <w:tcPr>
            <w:tcW w:w="1664" w:type="pct"/>
          </w:tcPr>
          <w:p w14:paraId="3DB43EAE" w14:textId="77777777" w:rsidR="00615C01" w:rsidRPr="00755D7D" w:rsidRDefault="00615C01" w:rsidP="00615C01">
            <w:pPr>
              <w:pStyle w:val="CAR-TableText-Left"/>
            </w:pPr>
            <w:r w:rsidRPr="00755D7D">
              <w:t xml:space="preserve">Professor Ian Ramsay </w:t>
            </w:r>
          </w:p>
        </w:tc>
        <w:tc>
          <w:tcPr>
            <w:tcW w:w="1948" w:type="pct"/>
          </w:tcPr>
          <w:p w14:paraId="46D57A9E" w14:textId="77777777" w:rsidR="00615C01" w:rsidRPr="00755D7D" w:rsidRDefault="00615C01" w:rsidP="00615C01">
            <w:pPr>
              <w:pStyle w:val="CAR-TableText-Left"/>
            </w:pPr>
            <w:r w:rsidRPr="00755D7D">
              <w:t>Business member</w:t>
            </w:r>
          </w:p>
        </w:tc>
        <w:tc>
          <w:tcPr>
            <w:tcW w:w="1388" w:type="pct"/>
          </w:tcPr>
          <w:p w14:paraId="06CDDE56" w14:textId="77777777" w:rsidR="00615C01" w:rsidRPr="00755D7D" w:rsidRDefault="00615C01" w:rsidP="00615C01">
            <w:pPr>
              <w:pStyle w:val="CAR-TableText-Right"/>
            </w:pPr>
            <w:r w:rsidRPr="00755D7D">
              <w:t>30 November 2013</w:t>
            </w:r>
          </w:p>
        </w:tc>
      </w:tr>
    </w:tbl>
    <w:p w14:paraId="370D4756" w14:textId="77777777" w:rsidR="00615C01" w:rsidRPr="00755D7D" w:rsidRDefault="00555DCF" w:rsidP="00E621BC">
      <w:pPr>
        <w:pStyle w:val="SingleParagraph"/>
        <w:spacing w:before="240"/>
        <w:rPr>
          <w:sz w:val="20"/>
          <w:szCs w:val="20"/>
        </w:rPr>
      </w:pPr>
      <w:r w:rsidRPr="00755D7D">
        <w:rPr>
          <w:sz w:val="20"/>
          <w:szCs w:val="20"/>
        </w:rPr>
        <w:t xml:space="preserve">Biographical </w:t>
      </w:r>
      <w:r w:rsidR="007D5AB9" w:rsidRPr="00755D7D">
        <w:rPr>
          <w:sz w:val="20"/>
          <w:szCs w:val="20"/>
        </w:rPr>
        <w:t>d</w:t>
      </w:r>
      <w:r w:rsidRPr="00755D7D">
        <w:rPr>
          <w:sz w:val="20"/>
          <w:szCs w:val="20"/>
        </w:rPr>
        <w:t xml:space="preserve">etails </w:t>
      </w:r>
      <w:r w:rsidR="008C3AA5" w:rsidRPr="00755D7D">
        <w:rPr>
          <w:sz w:val="20"/>
          <w:szCs w:val="20"/>
        </w:rPr>
        <w:t>of the</w:t>
      </w:r>
      <w:r w:rsidRPr="00755D7D">
        <w:rPr>
          <w:sz w:val="20"/>
          <w:szCs w:val="20"/>
        </w:rPr>
        <w:t xml:space="preserve"> current members are included in </w:t>
      </w:r>
      <w:r w:rsidR="005B6C28" w:rsidRPr="00755D7D">
        <w:rPr>
          <w:b/>
          <w:sz w:val="20"/>
          <w:szCs w:val="20"/>
        </w:rPr>
        <w:t>Appendix 2</w:t>
      </w:r>
      <w:r w:rsidRPr="00755D7D">
        <w:rPr>
          <w:sz w:val="20"/>
          <w:szCs w:val="20"/>
        </w:rPr>
        <w:t xml:space="preserve">. </w:t>
      </w:r>
    </w:p>
    <w:p w14:paraId="13766F95" w14:textId="77777777" w:rsidR="002524C7" w:rsidRPr="00755D7D" w:rsidRDefault="00F073B9" w:rsidP="00172C18">
      <w:pPr>
        <w:pStyle w:val="Heading1"/>
      </w:pPr>
      <w:bookmarkStart w:id="6" w:name="_Toc395079004"/>
      <w:r w:rsidRPr="00755D7D">
        <w:t>Operational information 2013–</w:t>
      </w:r>
      <w:r w:rsidR="003907F1" w:rsidRPr="00755D7D">
        <w:t>14</w:t>
      </w:r>
      <w:bookmarkEnd w:id="6"/>
    </w:p>
    <w:p w14:paraId="41A36997" w14:textId="77777777" w:rsidR="00F71E2A" w:rsidRPr="00755D7D" w:rsidRDefault="005B6C28" w:rsidP="00172C18">
      <w:pPr>
        <w:pStyle w:val="Heading2"/>
      </w:pPr>
      <w:bookmarkStart w:id="7" w:name="_Toc395079005"/>
      <w:r w:rsidRPr="00755D7D">
        <w:t>Registrar</w:t>
      </w:r>
      <w:bookmarkEnd w:id="7"/>
    </w:p>
    <w:p w14:paraId="3516A41E" w14:textId="77777777" w:rsidR="003907F1" w:rsidRPr="00755D7D" w:rsidRDefault="003907F1" w:rsidP="006E37E2">
      <w:pPr>
        <w:pStyle w:val="CAR-BodyText-Left"/>
      </w:pPr>
      <w:r w:rsidRPr="00755D7D">
        <w:t>The administrative business and operations of CALDB are conducted by its Registrar, Mr Gary Hoare</w:t>
      </w:r>
      <w:r w:rsidR="00494F86" w:rsidRPr="00755D7D">
        <w:t xml:space="preserve">. </w:t>
      </w:r>
      <w:r w:rsidRPr="00755D7D">
        <w:t>Mr Hoare is a full time employee of ASIC permanently seconded to CALDB</w:t>
      </w:r>
      <w:r w:rsidR="00494F86" w:rsidRPr="00755D7D">
        <w:t xml:space="preserve">. </w:t>
      </w:r>
    </w:p>
    <w:p w14:paraId="40A2D9B5" w14:textId="77777777" w:rsidR="00305B0A" w:rsidRPr="00755D7D" w:rsidRDefault="005B6C28" w:rsidP="00172C18">
      <w:pPr>
        <w:pStyle w:val="Heading2"/>
      </w:pPr>
      <w:bookmarkStart w:id="8" w:name="_Toc395079006"/>
      <w:r w:rsidRPr="00755D7D">
        <w:t>Premises</w:t>
      </w:r>
      <w:bookmarkEnd w:id="8"/>
    </w:p>
    <w:p w14:paraId="4286C12E" w14:textId="77777777" w:rsidR="002E303D" w:rsidRPr="00755D7D" w:rsidRDefault="005B6C28" w:rsidP="006E37E2">
      <w:pPr>
        <w:pStyle w:val="CAR-BodyText-Left"/>
      </w:pPr>
      <w:r w:rsidRPr="00755D7D">
        <w:rPr>
          <w:rFonts w:cs="Arial"/>
        </w:rPr>
        <w:t>CALDB moved</w:t>
      </w:r>
      <w:r w:rsidRPr="00755D7D">
        <w:rPr>
          <w:rFonts w:ascii="Arial" w:hAnsi="Arial" w:cs="Arial"/>
        </w:rPr>
        <w:t xml:space="preserve"> </w:t>
      </w:r>
      <w:r w:rsidR="003907F1" w:rsidRPr="00755D7D">
        <w:t>during the reporting year to new premises at Level 5, 100 Market Street Sydney</w:t>
      </w:r>
      <w:r w:rsidR="00494F86" w:rsidRPr="00755D7D">
        <w:t xml:space="preserve">. </w:t>
      </w:r>
      <w:r w:rsidR="003907F1" w:rsidRPr="00755D7D">
        <w:t xml:space="preserve">CALDB no longer has a </w:t>
      </w:r>
      <w:r w:rsidR="00E552BD" w:rsidRPr="00755D7D">
        <w:t xml:space="preserve">dedicated </w:t>
      </w:r>
      <w:r w:rsidR="003907F1" w:rsidRPr="00755D7D">
        <w:t>hearing room available on premises</w:t>
      </w:r>
      <w:r w:rsidR="00494F86" w:rsidRPr="00755D7D">
        <w:t xml:space="preserve">. </w:t>
      </w:r>
      <w:r w:rsidR="003907F1" w:rsidRPr="00755D7D">
        <w:t>An appropriate hearing venue is now hired, as needed, in Sydney and other location</w:t>
      </w:r>
      <w:r w:rsidR="00F2231C" w:rsidRPr="00755D7D">
        <w:t>s</w:t>
      </w:r>
      <w:r w:rsidR="003907F1" w:rsidRPr="00755D7D">
        <w:t xml:space="preserve"> in Australia</w:t>
      </w:r>
      <w:r w:rsidR="00494F86" w:rsidRPr="00755D7D">
        <w:t xml:space="preserve">. </w:t>
      </w:r>
      <w:r w:rsidR="003907F1" w:rsidRPr="00755D7D">
        <w:t>It is CALDB</w:t>
      </w:r>
      <w:r w:rsidR="0044339B" w:rsidRPr="00755D7D">
        <w:t>’</w:t>
      </w:r>
      <w:r w:rsidR="003907F1" w:rsidRPr="00755D7D">
        <w:t>s policy that a hearing will normally be held in the capital city of the state of residence of the Respondent</w:t>
      </w:r>
      <w:r w:rsidR="00494F86" w:rsidRPr="00755D7D">
        <w:t xml:space="preserve">. </w:t>
      </w:r>
      <w:r w:rsidR="003907F1" w:rsidRPr="00755D7D">
        <w:t>The application of this policy may be varied in individual cases and</w:t>
      </w:r>
      <w:r w:rsidR="00E552BD" w:rsidRPr="00755D7D">
        <w:t>,</w:t>
      </w:r>
      <w:r w:rsidR="003907F1" w:rsidRPr="00755D7D">
        <w:t xml:space="preserve"> when feasible</w:t>
      </w:r>
      <w:r w:rsidR="00E552BD" w:rsidRPr="00755D7D">
        <w:t>,</w:t>
      </w:r>
      <w:r w:rsidR="003907F1" w:rsidRPr="00755D7D">
        <w:t xml:space="preserve"> hearings will be held by telephone or video link</w:t>
      </w:r>
      <w:r w:rsidR="00F633C6" w:rsidRPr="00755D7D">
        <w:t xml:space="preserve">. </w:t>
      </w:r>
    </w:p>
    <w:p w14:paraId="46ADE60A" w14:textId="77777777" w:rsidR="002E303D" w:rsidRPr="00755D7D" w:rsidRDefault="006516ED" w:rsidP="00172C18">
      <w:pPr>
        <w:pStyle w:val="Heading2"/>
      </w:pPr>
      <w:bookmarkStart w:id="9" w:name="_Toc395079007"/>
      <w:r w:rsidRPr="00755D7D">
        <w:lastRenderedPageBreak/>
        <w:t>Applications received by C</w:t>
      </w:r>
      <w:r w:rsidR="00172C18" w:rsidRPr="00755D7D">
        <w:t>ALDB in the reporting year 2013–</w:t>
      </w:r>
      <w:r w:rsidRPr="00755D7D">
        <w:t>14</w:t>
      </w:r>
      <w:bookmarkEnd w:id="9"/>
    </w:p>
    <w:p w14:paraId="185EEFCB" w14:textId="77777777" w:rsidR="002E303D" w:rsidRPr="00755D7D" w:rsidRDefault="002E303D" w:rsidP="006E37E2">
      <w:pPr>
        <w:pStyle w:val="CAR-BodyText-Left"/>
      </w:pPr>
      <w:r w:rsidRPr="00755D7D">
        <w:t>Four new applications were received during the reporting year</w:t>
      </w:r>
      <w:r w:rsidR="00494F86" w:rsidRPr="00755D7D">
        <w:t xml:space="preserve">. </w:t>
      </w:r>
      <w:r w:rsidRPr="00755D7D">
        <w:t>All applications received during the year were received from ASIC</w:t>
      </w:r>
      <w:r w:rsidR="00F633C6" w:rsidRPr="00755D7D">
        <w:t xml:space="preserve">. </w:t>
      </w:r>
    </w:p>
    <w:p w14:paraId="0D21F047" w14:textId="77777777" w:rsidR="002E303D" w:rsidRPr="00755D7D" w:rsidRDefault="002E303D" w:rsidP="006E37E2">
      <w:pPr>
        <w:pStyle w:val="CAR-BodyText-Left"/>
      </w:pPr>
      <w:r w:rsidRPr="00755D7D">
        <w:t>The tables below provide a summary of the status of the matters before CALDB during the reporting year:</w:t>
      </w:r>
      <w:r w:rsidRPr="00755D7D" w:rsidDel="00DE6E85">
        <w:t xml:space="preserve"> </w:t>
      </w:r>
    </w:p>
    <w:p w14:paraId="6A0B89BD" w14:textId="77777777" w:rsidR="002E303D" w:rsidRPr="00755D7D" w:rsidRDefault="002E303D" w:rsidP="00172C18">
      <w:pPr>
        <w:pStyle w:val="TableMainHeading"/>
      </w:pPr>
      <w:r w:rsidRPr="00755D7D">
        <w:t>Auditors</w:t>
      </w:r>
    </w:p>
    <w:tbl>
      <w:tblPr>
        <w:tblW w:w="4883" w:type="pct"/>
        <w:tblInd w:w="108" w:type="dxa"/>
        <w:tblBorders>
          <w:top w:val="single" w:sz="2" w:space="0" w:color="000080"/>
          <w:bottom w:val="single" w:sz="2" w:space="0" w:color="000080"/>
        </w:tblBorders>
        <w:tblLook w:val="01E0" w:firstRow="1" w:lastRow="1" w:firstColumn="1" w:lastColumn="1" w:noHBand="0" w:noVBand="0"/>
      </w:tblPr>
      <w:tblGrid>
        <w:gridCol w:w="3871"/>
        <w:gridCol w:w="1959"/>
        <w:gridCol w:w="1912"/>
      </w:tblGrid>
      <w:tr w:rsidR="002E303D" w:rsidRPr="00755D7D" w14:paraId="35064435" w14:textId="77777777" w:rsidTr="007132B3">
        <w:trPr>
          <w:cantSplit/>
          <w:tblHeader/>
        </w:trPr>
        <w:tc>
          <w:tcPr>
            <w:tcW w:w="2500" w:type="pct"/>
            <w:tcBorders>
              <w:top w:val="single" w:sz="2" w:space="0" w:color="000080"/>
              <w:bottom w:val="single" w:sz="2" w:space="0" w:color="000080"/>
            </w:tcBorders>
            <w:shd w:val="clear" w:color="auto" w:fill="D5D5FF"/>
            <w:vAlign w:val="center"/>
          </w:tcPr>
          <w:p w14:paraId="57B00F78" w14:textId="77777777" w:rsidR="002E303D" w:rsidRPr="00755D7D" w:rsidRDefault="002E303D" w:rsidP="003B554F">
            <w:pPr>
              <w:pStyle w:val="CAR-TableColHead-Right"/>
            </w:pPr>
          </w:p>
        </w:tc>
        <w:tc>
          <w:tcPr>
            <w:tcW w:w="1265" w:type="pct"/>
            <w:tcBorders>
              <w:top w:val="single" w:sz="2" w:space="0" w:color="000080"/>
              <w:bottom w:val="single" w:sz="2" w:space="0" w:color="000080"/>
            </w:tcBorders>
            <w:shd w:val="clear" w:color="auto" w:fill="D5D5FF"/>
            <w:vAlign w:val="center"/>
          </w:tcPr>
          <w:p w14:paraId="184E5972" w14:textId="77777777" w:rsidR="002E303D" w:rsidRPr="00755D7D" w:rsidRDefault="002E303D" w:rsidP="003B554F">
            <w:pPr>
              <w:pStyle w:val="CAR-TableColHead-Right"/>
            </w:pPr>
            <w:r w:rsidRPr="00755D7D">
              <w:t>Conduct</w:t>
            </w:r>
          </w:p>
        </w:tc>
        <w:tc>
          <w:tcPr>
            <w:tcW w:w="1235" w:type="pct"/>
            <w:tcBorders>
              <w:top w:val="single" w:sz="2" w:space="0" w:color="000080"/>
              <w:bottom w:val="single" w:sz="2" w:space="0" w:color="000080"/>
            </w:tcBorders>
            <w:shd w:val="clear" w:color="auto" w:fill="D5D5FF"/>
            <w:vAlign w:val="center"/>
          </w:tcPr>
          <w:p w14:paraId="10CA1EA4" w14:textId="77777777" w:rsidR="002E303D" w:rsidRPr="00755D7D" w:rsidRDefault="002E303D" w:rsidP="003B554F">
            <w:pPr>
              <w:pStyle w:val="CAR-TableColHead-Right"/>
            </w:pPr>
            <w:r w:rsidRPr="00755D7D">
              <w:t>Administrative</w:t>
            </w:r>
          </w:p>
        </w:tc>
      </w:tr>
      <w:tr w:rsidR="002E303D" w:rsidRPr="00755D7D" w14:paraId="7A44EACA" w14:textId="77777777" w:rsidTr="003B554F">
        <w:trPr>
          <w:cantSplit/>
        </w:trPr>
        <w:tc>
          <w:tcPr>
            <w:tcW w:w="2500" w:type="pct"/>
            <w:tcBorders>
              <w:top w:val="single" w:sz="2" w:space="0" w:color="000080"/>
            </w:tcBorders>
          </w:tcPr>
          <w:p w14:paraId="4C737BCC" w14:textId="77777777" w:rsidR="002E303D" w:rsidRPr="00755D7D" w:rsidRDefault="002E303D" w:rsidP="001129F5">
            <w:pPr>
              <w:pStyle w:val="CAR-TableText-Left"/>
            </w:pPr>
            <w:r w:rsidRPr="00755D7D">
              <w:t>Uncompleted matters at 1/7/13</w:t>
            </w:r>
          </w:p>
          <w:p w14:paraId="05611316" w14:textId="77777777" w:rsidR="002E303D" w:rsidRPr="00755D7D" w:rsidRDefault="002E303D" w:rsidP="001129F5">
            <w:pPr>
              <w:pStyle w:val="CAR-TableText-Left"/>
            </w:pPr>
            <w:r w:rsidRPr="00755D7D">
              <w:t>New Applications</w:t>
            </w:r>
            <w:r w:rsidR="00E552BD" w:rsidRPr="00755D7D">
              <w:t xml:space="preserve"> received in 2013/2014 year</w:t>
            </w:r>
          </w:p>
        </w:tc>
        <w:tc>
          <w:tcPr>
            <w:tcW w:w="1265" w:type="pct"/>
            <w:tcBorders>
              <w:top w:val="single" w:sz="2" w:space="0" w:color="000080"/>
            </w:tcBorders>
          </w:tcPr>
          <w:p w14:paraId="7825DB86" w14:textId="77777777" w:rsidR="002E303D" w:rsidRPr="00755D7D" w:rsidRDefault="0044339B" w:rsidP="001129F5">
            <w:pPr>
              <w:pStyle w:val="CAR-TableText-Right"/>
            </w:pPr>
            <w:r w:rsidRPr="00755D7D">
              <w:noBreakHyphen/>
            </w:r>
          </w:p>
          <w:p w14:paraId="5F63AE25" w14:textId="77777777" w:rsidR="002E303D" w:rsidRPr="00755D7D" w:rsidRDefault="002E303D" w:rsidP="001129F5">
            <w:pPr>
              <w:pStyle w:val="CAR-TableText-Right"/>
            </w:pPr>
            <w:r w:rsidRPr="00755D7D">
              <w:t>2</w:t>
            </w:r>
          </w:p>
        </w:tc>
        <w:tc>
          <w:tcPr>
            <w:tcW w:w="1235" w:type="pct"/>
            <w:tcBorders>
              <w:top w:val="single" w:sz="2" w:space="0" w:color="000080"/>
            </w:tcBorders>
          </w:tcPr>
          <w:p w14:paraId="0E1CB50F" w14:textId="77777777" w:rsidR="002E303D" w:rsidRPr="00755D7D" w:rsidRDefault="0044339B" w:rsidP="001129F5">
            <w:pPr>
              <w:pStyle w:val="CAR-TableText-Right"/>
            </w:pPr>
            <w:r w:rsidRPr="00755D7D">
              <w:noBreakHyphen/>
            </w:r>
          </w:p>
          <w:p w14:paraId="7E5ABE56" w14:textId="77777777" w:rsidR="002E303D" w:rsidRPr="00755D7D" w:rsidRDefault="0044339B" w:rsidP="001129F5">
            <w:pPr>
              <w:pStyle w:val="CAR-TableText-Right"/>
            </w:pPr>
            <w:r w:rsidRPr="00755D7D">
              <w:noBreakHyphen/>
            </w:r>
          </w:p>
        </w:tc>
      </w:tr>
      <w:tr w:rsidR="002E303D" w:rsidRPr="00755D7D" w14:paraId="197D1754" w14:textId="77777777" w:rsidTr="003B554F">
        <w:trPr>
          <w:cantSplit/>
        </w:trPr>
        <w:tc>
          <w:tcPr>
            <w:tcW w:w="2500" w:type="pct"/>
          </w:tcPr>
          <w:p w14:paraId="40F049D5" w14:textId="77777777" w:rsidR="002E303D" w:rsidRPr="00755D7D" w:rsidRDefault="002E303D" w:rsidP="001129F5">
            <w:pPr>
              <w:pStyle w:val="CAR-TableText-Left"/>
            </w:pPr>
            <w:r w:rsidRPr="00755D7D">
              <w:t>Matters withdrawn</w:t>
            </w:r>
          </w:p>
          <w:p w14:paraId="5D4D535C" w14:textId="77777777" w:rsidR="002E303D" w:rsidRPr="00755D7D" w:rsidRDefault="002E303D" w:rsidP="001129F5">
            <w:pPr>
              <w:pStyle w:val="CAR-TableText-Left"/>
            </w:pPr>
            <w:r w:rsidRPr="00755D7D">
              <w:t>Matters Dealt with</w:t>
            </w:r>
            <w:r w:rsidR="00494F86" w:rsidRPr="00755D7D">
              <w:t xml:space="preserve"> — </w:t>
            </w:r>
            <w:r w:rsidRPr="00755D7D">
              <w:t>Orders issued</w:t>
            </w:r>
          </w:p>
        </w:tc>
        <w:tc>
          <w:tcPr>
            <w:tcW w:w="1265" w:type="pct"/>
          </w:tcPr>
          <w:p w14:paraId="7A83C83C" w14:textId="77777777" w:rsidR="002E303D" w:rsidRPr="00755D7D" w:rsidRDefault="0044339B" w:rsidP="001129F5">
            <w:pPr>
              <w:pStyle w:val="CAR-TableText-Right"/>
            </w:pPr>
            <w:r w:rsidRPr="00755D7D">
              <w:noBreakHyphen/>
            </w:r>
          </w:p>
          <w:p w14:paraId="2CA5A181" w14:textId="77777777" w:rsidR="002E303D" w:rsidRPr="00755D7D" w:rsidDel="00317C0C" w:rsidRDefault="002E303D" w:rsidP="001129F5">
            <w:pPr>
              <w:pStyle w:val="CAR-TableText-Right"/>
            </w:pPr>
            <w:r w:rsidRPr="00755D7D">
              <w:t>1</w:t>
            </w:r>
          </w:p>
        </w:tc>
        <w:tc>
          <w:tcPr>
            <w:tcW w:w="1235" w:type="pct"/>
          </w:tcPr>
          <w:p w14:paraId="6931A781" w14:textId="77777777" w:rsidR="002E303D" w:rsidRPr="00755D7D" w:rsidRDefault="0044339B" w:rsidP="001129F5">
            <w:pPr>
              <w:pStyle w:val="CAR-TableText-Right"/>
            </w:pPr>
            <w:r w:rsidRPr="00755D7D">
              <w:noBreakHyphen/>
            </w:r>
          </w:p>
          <w:p w14:paraId="30F3F14E" w14:textId="77777777" w:rsidR="002E303D" w:rsidRPr="00755D7D" w:rsidRDefault="0044339B" w:rsidP="001129F5">
            <w:pPr>
              <w:pStyle w:val="CAR-TableText-Right"/>
            </w:pPr>
            <w:r w:rsidRPr="00755D7D">
              <w:noBreakHyphen/>
            </w:r>
          </w:p>
        </w:tc>
      </w:tr>
      <w:tr w:rsidR="002E303D" w:rsidRPr="00755D7D" w14:paraId="052BE40C" w14:textId="77777777" w:rsidTr="003B554F">
        <w:trPr>
          <w:cantSplit/>
        </w:trPr>
        <w:tc>
          <w:tcPr>
            <w:tcW w:w="2500" w:type="pct"/>
          </w:tcPr>
          <w:p w14:paraId="6EF4AAC2" w14:textId="77777777" w:rsidR="002E303D" w:rsidRPr="00755D7D" w:rsidRDefault="002E303D" w:rsidP="001129F5">
            <w:pPr>
              <w:pStyle w:val="CAR-TableText-Left"/>
            </w:pPr>
            <w:r w:rsidRPr="00755D7D">
              <w:t>Uncompleted matters at 30/6/14</w:t>
            </w:r>
          </w:p>
        </w:tc>
        <w:tc>
          <w:tcPr>
            <w:tcW w:w="1265" w:type="pct"/>
          </w:tcPr>
          <w:p w14:paraId="3B47CBFD" w14:textId="77777777" w:rsidR="002E303D" w:rsidRPr="00755D7D" w:rsidRDefault="002E303D" w:rsidP="001129F5">
            <w:pPr>
              <w:pStyle w:val="CAR-TableText-Right"/>
            </w:pPr>
            <w:r w:rsidRPr="00755D7D">
              <w:t>1</w:t>
            </w:r>
          </w:p>
        </w:tc>
        <w:tc>
          <w:tcPr>
            <w:tcW w:w="1235" w:type="pct"/>
          </w:tcPr>
          <w:p w14:paraId="4C6977F6" w14:textId="77777777" w:rsidR="002E303D" w:rsidRPr="00755D7D" w:rsidRDefault="0044339B" w:rsidP="001129F5">
            <w:pPr>
              <w:pStyle w:val="CAR-TableText-Right"/>
            </w:pPr>
            <w:r w:rsidRPr="00755D7D">
              <w:noBreakHyphen/>
            </w:r>
          </w:p>
        </w:tc>
      </w:tr>
    </w:tbl>
    <w:p w14:paraId="7FD8655D" w14:textId="77777777" w:rsidR="002E303D" w:rsidRPr="00755D7D" w:rsidRDefault="002E303D" w:rsidP="00172C18">
      <w:pPr>
        <w:pStyle w:val="TableMainHeading"/>
      </w:pPr>
      <w:r w:rsidRPr="00755D7D">
        <w:t>Liquidators</w:t>
      </w:r>
    </w:p>
    <w:tbl>
      <w:tblPr>
        <w:tblW w:w="4883" w:type="pct"/>
        <w:tblInd w:w="108" w:type="dxa"/>
        <w:tblBorders>
          <w:top w:val="single" w:sz="2" w:space="0" w:color="000080"/>
          <w:bottom w:val="single" w:sz="2" w:space="0" w:color="000080"/>
        </w:tblBorders>
        <w:tblLook w:val="01E0" w:firstRow="1" w:lastRow="1" w:firstColumn="1" w:lastColumn="1" w:noHBand="0" w:noVBand="0"/>
      </w:tblPr>
      <w:tblGrid>
        <w:gridCol w:w="3873"/>
        <w:gridCol w:w="1957"/>
        <w:gridCol w:w="1912"/>
      </w:tblGrid>
      <w:tr w:rsidR="002E303D" w:rsidRPr="00755D7D" w14:paraId="0E70B6C2" w14:textId="77777777" w:rsidTr="007132B3">
        <w:trPr>
          <w:cantSplit/>
          <w:tblHeader/>
        </w:trPr>
        <w:tc>
          <w:tcPr>
            <w:tcW w:w="2501" w:type="pct"/>
            <w:tcBorders>
              <w:top w:val="single" w:sz="2" w:space="0" w:color="000080"/>
              <w:bottom w:val="single" w:sz="2" w:space="0" w:color="000080"/>
            </w:tcBorders>
            <w:shd w:val="clear" w:color="auto" w:fill="D5D5FF"/>
            <w:vAlign w:val="center"/>
          </w:tcPr>
          <w:p w14:paraId="2BB5AC27" w14:textId="77777777" w:rsidR="002E303D" w:rsidRPr="00755D7D" w:rsidRDefault="002E303D" w:rsidP="003B554F">
            <w:pPr>
              <w:pStyle w:val="CAR-TableColHead-Right"/>
            </w:pPr>
          </w:p>
        </w:tc>
        <w:tc>
          <w:tcPr>
            <w:tcW w:w="1264" w:type="pct"/>
            <w:tcBorders>
              <w:top w:val="single" w:sz="2" w:space="0" w:color="000080"/>
              <w:bottom w:val="single" w:sz="2" w:space="0" w:color="000080"/>
            </w:tcBorders>
            <w:shd w:val="clear" w:color="auto" w:fill="D5D5FF"/>
            <w:vAlign w:val="center"/>
          </w:tcPr>
          <w:p w14:paraId="739A284F" w14:textId="77777777" w:rsidR="002E303D" w:rsidRPr="00755D7D" w:rsidRDefault="002E303D" w:rsidP="003B554F">
            <w:pPr>
              <w:pStyle w:val="CAR-TableColHead-Right"/>
            </w:pPr>
            <w:r w:rsidRPr="00755D7D">
              <w:t>Conduct</w:t>
            </w:r>
          </w:p>
        </w:tc>
        <w:tc>
          <w:tcPr>
            <w:tcW w:w="1235" w:type="pct"/>
            <w:tcBorders>
              <w:top w:val="single" w:sz="2" w:space="0" w:color="000080"/>
              <w:bottom w:val="single" w:sz="2" w:space="0" w:color="000080"/>
            </w:tcBorders>
            <w:shd w:val="clear" w:color="auto" w:fill="D5D5FF"/>
            <w:vAlign w:val="center"/>
          </w:tcPr>
          <w:p w14:paraId="7C095E39" w14:textId="77777777" w:rsidR="002E303D" w:rsidRPr="00755D7D" w:rsidRDefault="002E303D" w:rsidP="003B554F">
            <w:pPr>
              <w:pStyle w:val="CAR-TableColHead-Right"/>
            </w:pPr>
            <w:r w:rsidRPr="00755D7D">
              <w:t>Administrative</w:t>
            </w:r>
          </w:p>
        </w:tc>
      </w:tr>
      <w:tr w:rsidR="002E303D" w:rsidRPr="00755D7D" w14:paraId="45907CEA" w14:textId="77777777" w:rsidTr="003B554F">
        <w:trPr>
          <w:cantSplit/>
        </w:trPr>
        <w:tc>
          <w:tcPr>
            <w:tcW w:w="2501" w:type="pct"/>
            <w:tcBorders>
              <w:top w:val="single" w:sz="2" w:space="0" w:color="000080"/>
            </w:tcBorders>
          </w:tcPr>
          <w:p w14:paraId="151FE24F" w14:textId="77777777" w:rsidR="002E303D" w:rsidRPr="00755D7D" w:rsidRDefault="002E303D" w:rsidP="001129F5">
            <w:pPr>
              <w:pStyle w:val="CAR-TableText-Left"/>
            </w:pPr>
            <w:r w:rsidRPr="00755D7D">
              <w:t>Uncompleted matters at 1/7/13</w:t>
            </w:r>
          </w:p>
          <w:p w14:paraId="03399C29" w14:textId="77777777" w:rsidR="002E303D" w:rsidRPr="00755D7D" w:rsidRDefault="002E303D" w:rsidP="001129F5">
            <w:pPr>
              <w:pStyle w:val="CAR-TableText-Left"/>
            </w:pPr>
            <w:r w:rsidRPr="00755D7D">
              <w:t>New Applications</w:t>
            </w:r>
            <w:r w:rsidR="002A39A7" w:rsidRPr="00755D7D">
              <w:t xml:space="preserve"> received in 2013/2014 year</w:t>
            </w:r>
          </w:p>
          <w:p w14:paraId="542891DB" w14:textId="77777777" w:rsidR="002E303D" w:rsidRPr="00755D7D" w:rsidRDefault="002E303D" w:rsidP="001129F5">
            <w:pPr>
              <w:pStyle w:val="CAR-TableText-Left"/>
            </w:pPr>
            <w:r w:rsidRPr="00755D7D">
              <w:t>Matters Withdrawn</w:t>
            </w:r>
          </w:p>
        </w:tc>
        <w:tc>
          <w:tcPr>
            <w:tcW w:w="1264" w:type="pct"/>
            <w:tcBorders>
              <w:top w:val="single" w:sz="2" w:space="0" w:color="000080"/>
            </w:tcBorders>
          </w:tcPr>
          <w:p w14:paraId="33706AE9" w14:textId="77777777" w:rsidR="002E303D" w:rsidRPr="00755D7D" w:rsidRDefault="002E303D" w:rsidP="001129F5">
            <w:pPr>
              <w:pStyle w:val="CAR-TableText-Right"/>
            </w:pPr>
            <w:r w:rsidRPr="00755D7D">
              <w:t>4</w:t>
            </w:r>
          </w:p>
          <w:p w14:paraId="7AC229C8" w14:textId="77777777" w:rsidR="002E303D" w:rsidRPr="00755D7D" w:rsidRDefault="002E303D" w:rsidP="001129F5">
            <w:pPr>
              <w:pStyle w:val="CAR-TableText-Right"/>
            </w:pPr>
            <w:r w:rsidRPr="00755D7D">
              <w:t>2</w:t>
            </w:r>
          </w:p>
          <w:p w14:paraId="05C9E641" w14:textId="77777777" w:rsidR="002E303D" w:rsidRPr="00755D7D" w:rsidRDefault="0044339B" w:rsidP="002A39A7">
            <w:pPr>
              <w:pStyle w:val="CAR-TableText-Right"/>
            </w:pPr>
            <w:r w:rsidRPr="00755D7D">
              <w:noBreakHyphen/>
            </w:r>
          </w:p>
        </w:tc>
        <w:tc>
          <w:tcPr>
            <w:tcW w:w="1235" w:type="pct"/>
            <w:tcBorders>
              <w:top w:val="single" w:sz="2" w:space="0" w:color="000080"/>
            </w:tcBorders>
          </w:tcPr>
          <w:p w14:paraId="2D930430" w14:textId="77777777" w:rsidR="002E303D" w:rsidRPr="00755D7D" w:rsidRDefault="0044339B" w:rsidP="001129F5">
            <w:pPr>
              <w:pStyle w:val="CAR-TableText-Right"/>
            </w:pPr>
            <w:r w:rsidRPr="00755D7D">
              <w:noBreakHyphen/>
            </w:r>
          </w:p>
          <w:p w14:paraId="7C145E3B" w14:textId="77777777" w:rsidR="002E303D" w:rsidRPr="00755D7D" w:rsidRDefault="0044339B" w:rsidP="001129F5">
            <w:pPr>
              <w:pStyle w:val="CAR-TableText-Right"/>
            </w:pPr>
            <w:r w:rsidRPr="00755D7D">
              <w:noBreakHyphen/>
            </w:r>
          </w:p>
          <w:p w14:paraId="346FF180" w14:textId="77777777" w:rsidR="002E303D" w:rsidRPr="00755D7D" w:rsidRDefault="0044339B" w:rsidP="001129F5">
            <w:pPr>
              <w:pStyle w:val="CAR-TableText-Right"/>
            </w:pPr>
            <w:r w:rsidRPr="00755D7D">
              <w:noBreakHyphen/>
            </w:r>
          </w:p>
        </w:tc>
      </w:tr>
      <w:tr w:rsidR="002E303D" w:rsidRPr="00755D7D" w14:paraId="2501F96F" w14:textId="77777777" w:rsidTr="003B554F">
        <w:trPr>
          <w:cantSplit/>
        </w:trPr>
        <w:tc>
          <w:tcPr>
            <w:tcW w:w="2501" w:type="pct"/>
          </w:tcPr>
          <w:p w14:paraId="5314E670" w14:textId="77777777" w:rsidR="002E303D" w:rsidRPr="00755D7D" w:rsidRDefault="002E303D" w:rsidP="001129F5">
            <w:pPr>
              <w:pStyle w:val="CAR-TableText-Left"/>
            </w:pPr>
            <w:r w:rsidRPr="00755D7D">
              <w:t>Matters dealt with</w:t>
            </w:r>
            <w:r w:rsidR="00494F86" w:rsidRPr="00755D7D">
              <w:t xml:space="preserve"> — </w:t>
            </w:r>
            <w:r w:rsidRPr="00755D7D">
              <w:t>orders issued</w:t>
            </w:r>
          </w:p>
        </w:tc>
        <w:tc>
          <w:tcPr>
            <w:tcW w:w="1264" w:type="pct"/>
          </w:tcPr>
          <w:p w14:paraId="63D930D3" w14:textId="77777777" w:rsidR="002E303D" w:rsidRPr="00755D7D" w:rsidDel="00317C0C" w:rsidRDefault="002E303D" w:rsidP="001129F5">
            <w:pPr>
              <w:pStyle w:val="CAR-TableText-Right"/>
            </w:pPr>
            <w:r w:rsidRPr="00755D7D">
              <w:t>5</w:t>
            </w:r>
          </w:p>
        </w:tc>
        <w:tc>
          <w:tcPr>
            <w:tcW w:w="1235" w:type="pct"/>
          </w:tcPr>
          <w:p w14:paraId="1E32FC33" w14:textId="77777777" w:rsidR="002E303D" w:rsidRPr="00755D7D" w:rsidRDefault="0044339B" w:rsidP="001129F5">
            <w:pPr>
              <w:pStyle w:val="CAR-TableText-Right"/>
            </w:pPr>
            <w:r w:rsidRPr="00755D7D">
              <w:noBreakHyphen/>
            </w:r>
          </w:p>
        </w:tc>
      </w:tr>
      <w:tr w:rsidR="002E303D" w:rsidRPr="00755D7D" w14:paraId="19EC760D" w14:textId="77777777" w:rsidTr="003B554F">
        <w:trPr>
          <w:cantSplit/>
        </w:trPr>
        <w:tc>
          <w:tcPr>
            <w:tcW w:w="2501" w:type="pct"/>
          </w:tcPr>
          <w:p w14:paraId="57CAE70C" w14:textId="77777777" w:rsidR="002E303D" w:rsidRPr="00755D7D" w:rsidRDefault="002E303D" w:rsidP="001129F5">
            <w:pPr>
              <w:pStyle w:val="CAR-TableText-Left"/>
            </w:pPr>
            <w:r w:rsidRPr="00755D7D">
              <w:t>Uncompleted matters at 30/6/14</w:t>
            </w:r>
          </w:p>
        </w:tc>
        <w:tc>
          <w:tcPr>
            <w:tcW w:w="1264" w:type="pct"/>
          </w:tcPr>
          <w:p w14:paraId="1E0E9B64" w14:textId="77777777" w:rsidR="002E303D" w:rsidRPr="00755D7D" w:rsidRDefault="002E303D" w:rsidP="001129F5">
            <w:pPr>
              <w:pStyle w:val="CAR-TableText-Right"/>
            </w:pPr>
            <w:r w:rsidRPr="00755D7D">
              <w:t>1</w:t>
            </w:r>
          </w:p>
        </w:tc>
        <w:tc>
          <w:tcPr>
            <w:tcW w:w="1235" w:type="pct"/>
          </w:tcPr>
          <w:p w14:paraId="316C119D" w14:textId="77777777" w:rsidR="002E303D" w:rsidRPr="00755D7D" w:rsidRDefault="0044339B" w:rsidP="001129F5">
            <w:pPr>
              <w:pStyle w:val="CAR-TableText-Right"/>
            </w:pPr>
            <w:r w:rsidRPr="00755D7D">
              <w:noBreakHyphen/>
            </w:r>
          </w:p>
        </w:tc>
      </w:tr>
    </w:tbl>
    <w:p w14:paraId="1F79852D" w14:textId="77777777" w:rsidR="00FE27AB" w:rsidRPr="00755D7D" w:rsidRDefault="006516ED" w:rsidP="006E37E2">
      <w:pPr>
        <w:pStyle w:val="ChartorTableNote"/>
      </w:pPr>
      <w:r w:rsidRPr="00755D7D">
        <w:t>There is an additional costs order to be made in one otherwise completed matter.</w:t>
      </w:r>
    </w:p>
    <w:p w14:paraId="13F6C885" w14:textId="77777777" w:rsidR="005B6C28" w:rsidRPr="00755D7D" w:rsidRDefault="006516ED" w:rsidP="006E37E2">
      <w:pPr>
        <w:pStyle w:val="Heading2"/>
      </w:pPr>
      <w:bookmarkStart w:id="10" w:name="_Toc395079008"/>
      <w:r w:rsidRPr="00755D7D">
        <w:t>Hearing days during the reporting year</w:t>
      </w:r>
      <w:bookmarkEnd w:id="10"/>
    </w:p>
    <w:p w14:paraId="7D77607E" w14:textId="77777777" w:rsidR="002E303D" w:rsidRPr="00755D7D" w:rsidRDefault="002E303D" w:rsidP="006E37E2">
      <w:pPr>
        <w:pStyle w:val="CAR-BodyText-Left"/>
      </w:pPr>
      <w:r w:rsidRPr="00755D7D">
        <w:t xml:space="preserve">The overview in the table below provides data on the number of days Board members were engaged in the hearing of applications. </w:t>
      </w:r>
    </w:p>
    <w:tbl>
      <w:tblPr>
        <w:tblW w:w="4883" w:type="pct"/>
        <w:tblInd w:w="108" w:type="dxa"/>
        <w:tblBorders>
          <w:top w:val="single" w:sz="2" w:space="0" w:color="000080"/>
          <w:bottom w:val="single" w:sz="2" w:space="0" w:color="000080"/>
          <w:insideH w:val="single" w:sz="2" w:space="0" w:color="000080"/>
        </w:tblBorders>
        <w:tblLook w:val="01E0" w:firstRow="1" w:lastRow="1" w:firstColumn="1" w:lastColumn="1" w:noHBand="0" w:noVBand="0"/>
      </w:tblPr>
      <w:tblGrid>
        <w:gridCol w:w="1483"/>
        <w:gridCol w:w="1581"/>
        <w:gridCol w:w="1581"/>
        <w:gridCol w:w="1595"/>
        <w:gridCol w:w="1502"/>
      </w:tblGrid>
      <w:tr w:rsidR="002E303D" w:rsidRPr="00755D7D" w14:paraId="2715733E" w14:textId="77777777" w:rsidTr="007132B3">
        <w:trPr>
          <w:tblHeader/>
        </w:trPr>
        <w:tc>
          <w:tcPr>
            <w:tcW w:w="957" w:type="pct"/>
            <w:tcBorders>
              <w:top w:val="single" w:sz="2" w:space="0" w:color="000080"/>
              <w:bottom w:val="single" w:sz="2" w:space="0" w:color="000080"/>
            </w:tcBorders>
            <w:shd w:val="clear" w:color="auto" w:fill="D5D5FF"/>
            <w:vAlign w:val="center"/>
          </w:tcPr>
          <w:p w14:paraId="67BDBB3B" w14:textId="77777777" w:rsidR="002E303D" w:rsidRPr="00755D7D" w:rsidRDefault="002E303D" w:rsidP="003B554F">
            <w:pPr>
              <w:pStyle w:val="CAR-TableColHead-Left"/>
            </w:pPr>
            <w:r w:rsidRPr="00755D7D">
              <w:t>Activity</w:t>
            </w:r>
          </w:p>
        </w:tc>
        <w:tc>
          <w:tcPr>
            <w:tcW w:w="1021" w:type="pct"/>
            <w:tcBorders>
              <w:top w:val="single" w:sz="2" w:space="0" w:color="000080"/>
              <w:bottom w:val="single" w:sz="2" w:space="0" w:color="000080"/>
            </w:tcBorders>
            <w:shd w:val="clear" w:color="auto" w:fill="D5D5FF"/>
            <w:vAlign w:val="center"/>
          </w:tcPr>
          <w:p w14:paraId="74C4B134" w14:textId="77777777" w:rsidR="002E303D" w:rsidRPr="00755D7D" w:rsidRDefault="002E303D" w:rsidP="003B554F">
            <w:pPr>
              <w:pStyle w:val="CAR-TableColHead-Left"/>
            </w:pPr>
            <w:r w:rsidRPr="00755D7D">
              <w:t xml:space="preserve">Auditors </w:t>
            </w:r>
            <w:r w:rsidR="002A39A7" w:rsidRPr="00755D7D">
              <w:t>13</w:t>
            </w:r>
            <w:r w:rsidR="003B554F" w:rsidRPr="00755D7D">
              <w:t>–</w:t>
            </w:r>
            <w:r w:rsidRPr="00755D7D">
              <w:t>14</w:t>
            </w:r>
          </w:p>
        </w:tc>
        <w:tc>
          <w:tcPr>
            <w:tcW w:w="1021" w:type="pct"/>
            <w:tcBorders>
              <w:top w:val="single" w:sz="2" w:space="0" w:color="000080"/>
              <w:bottom w:val="single" w:sz="2" w:space="0" w:color="000080"/>
            </w:tcBorders>
            <w:shd w:val="clear" w:color="auto" w:fill="D5D5FF"/>
            <w:vAlign w:val="center"/>
          </w:tcPr>
          <w:p w14:paraId="38CF11E0" w14:textId="77777777" w:rsidR="002E303D" w:rsidRPr="00755D7D" w:rsidRDefault="002E303D" w:rsidP="003B554F">
            <w:pPr>
              <w:pStyle w:val="CAR-TableColHead-Left"/>
            </w:pPr>
            <w:r w:rsidRPr="00755D7D">
              <w:t xml:space="preserve">Auditors </w:t>
            </w:r>
            <w:r w:rsidR="003B554F" w:rsidRPr="00755D7D">
              <w:t>12–</w:t>
            </w:r>
            <w:r w:rsidRPr="00755D7D">
              <w:t>13</w:t>
            </w:r>
          </w:p>
        </w:tc>
        <w:tc>
          <w:tcPr>
            <w:tcW w:w="1030" w:type="pct"/>
            <w:tcBorders>
              <w:top w:val="single" w:sz="2" w:space="0" w:color="000080"/>
              <w:bottom w:val="single" w:sz="2" w:space="0" w:color="000080"/>
            </w:tcBorders>
            <w:shd w:val="clear" w:color="auto" w:fill="D5D5FF"/>
            <w:vAlign w:val="center"/>
          </w:tcPr>
          <w:p w14:paraId="7AED8D1F" w14:textId="77777777" w:rsidR="002E303D" w:rsidRPr="00755D7D" w:rsidRDefault="002E303D" w:rsidP="003B554F">
            <w:pPr>
              <w:pStyle w:val="CAR-TableColHead-Left"/>
            </w:pPr>
            <w:r w:rsidRPr="00755D7D">
              <w:t xml:space="preserve">Liquidators </w:t>
            </w:r>
            <w:r w:rsidR="003B554F" w:rsidRPr="00755D7D">
              <w:t>13–</w:t>
            </w:r>
            <w:r w:rsidRPr="00755D7D">
              <w:t>14</w:t>
            </w:r>
          </w:p>
        </w:tc>
        <w:tc>
          <w:tcPr>
            <w:tcW w:w="970" w:type="pct"/>
            <w:tcBorders>
              <w:top w:val="single" w:sz="2" w:space="0" w:color="000080"/>
              <w:bottom w:val="single" w:sz="2" w:space="0" w:color="000080"/>
            </w:tcBorders>
            <w:shd w:val="clear" w:color="auto" w:fill="D5D5FF"/>
            <w:vAlign w:val="center"/>
          </w:tcPr>
          <w:p w14:paraId="064BDACC" w14:textId="77777777" w:rsidR="002E303D" w:rsidRPr="00755D7D" w:rsidRDefault="002E303D" w:rsidP="003B554F">
            <w:pPr>
              <w:pStyle w:val="CAR-TableColHead-Left"/>
            </w:pPr>
            <w:r w:rsidRPr="00755D7D">
              <w:t xml:space="preserve">Liquidators </w:t>
            </w:r>
            <w:r w:rsidR="003B554F" w:rsidRPr="00755D7D">
              <w:t>12–</w:t>
            </w:r>
            <w:r w:rsidRPr="00755D7D">
              <w:t>13</w:t>
            </w:r>
          </w:p>
        </w:tc>
      </w:tr>
      <w:tr w:rsidR="002E303D" w:rsidRPr="00755D7D" w14:paraId="379C5D37" w14:textId="77777777" w:rsidTr="003B554F">
        <w:tc>
          <w:tcPr>
            <w:tcW w:w="957" w:type="pct"/>
            <w:tcBorders>
              <w:top w:val="single" w:sz="2" w:space="0" w:color="000080"/>
            </w:tcBorders>
          </w:tcPr>
          <w:p w14:paraId="7CF2CEA9" w14:textId="77777777" w:rsidR="002E303D" w:rsidRPr="00755D7D" w:rsidRDefault="002E303D" w:rsidP="001129F5">
            <w:pPr>
              <w:pStyle w:val="CAR-TableText-Left"/>
            </w:pPr>
            <w:r w:rsidRPr="00755D7D">
              <w:t xml:space="preserve">Hearing days </w:t>
            </w:r>
          </w:p>
        </w:tc>
        <w:tc>
          <w:tcPr>
            <w:tcW w:w="1021" w:type="pct"/>
            <w:tcBorders>
              <w:top w:val="single" w:sz="2" w:space="0" w:color="000080"/>
            </w:tcBorders>
          </w:tcPr>
          <w:p w14:paraId="09EF31FE" w14:textId="77777777" w:rsidR="002E303D" w:rsidRPr="00755D7D" w:rsidRDefault="002E303D" w:rsidP="001129F5">
            <w:pPr>
              <w:pStyle w:val="CAR-TableText-Left"/>
            </w:pPr>
            <w:r w:rsidRPr="00755D7D">
              <w:t xml:space="preserve">3 </w:t>
            </w:r>
            <w:r w:rsidR="00D76977" w:rsidRPr="00755D7D">
              <w:t>perso</w:t>
            </w:r>
            <w:r w:rsidRPr="00755D7D">
              <w:t>n days</w:t>
            </w:r>
          </w:p>
        </w:tc>
        <w:tc>
          <w:tcPr>
            <w:tcW w:w="1021" w:type="pct"/>
            <w:tcBorders>
              <w:top w:val="single" w:sz="2" w:space="0" w:color="000080"/>
            </w:tcBorders>
          </w:tcPr>
          <w:p w14:paraId="385D95D8" w14:textId="77777777" w:rsidR="002E303D" w:rsidRPr="00755D7D" w:rsidRDefault="002E303D" w:rsidP="001129F5">
            <w:pPr>
              <w:pStyle w:val="CAR-TableText-Left"/>
            </w:pPr>
            <w:r w:rsidRPr="00755D7D">
              <w:t xml:space="preserve">3 </w:t>
            </w:r>
            <w:r w:rsidR="00D76977" w:rsidRPr="00755D7D">
              <w:t>perso</w:t>
            </w:r>
            <w:r w:rsidRPr="00755D7D">
              <w:t>n days</w:t>
            </w:r>
          </w:p>
        </w:tc>
        <w:tc>
          <w:tcPr>
            <w:tcW w:w="1030" w:type="pct"/>
            <w:tcBorders>
              <w:top w:val="single" w:sz="2" w:space="0" w:color="000080"/>
            </w:tcBorders>
          </w:tcPr>
          <w:p w14:paraId="794A5EA0" w14:textId="77777777" w:rsidR="002E303D" w:rsidRPr="00755D7D" w:rsidRDefault="002E303D" w:rsidP="001129F5">
            <w:pPr>
              <w:pStyle w:val="CAR-TableText-Left"/>
            </w:pPr>
            <w:r w:rsidRPr="00755D7D">
              <w:t xml:space="preserve">68 </w:t>
            </w:r>
            <w:r w:rsidR="00D76977" w:rsidRPr="00755D7D">
              <w:t>perso</w:t>
            </w:r>
            <w:r w:rsidRPr="00755D7D">
              <w:t>n days</w:t>
            </w:r>
          </w:p>
        </w:tc>
        <w:tc>
          <w:tcPr>
            <w:tcW w:w="970" w:type="pct"/>
            <w:tcBorders>
              <w:top w:val="single" w:sz="2" w:space="0" w:color="000080"/>
            </w:tcBorders>
          </w:tcPr>
          <w:p w14:paraId="351D1431" w14:textId="77777777" w:rsidR="002E303D" w:rsidRPr="00755D7D" w:rsidRDefault="002E303D" w:rsidP="001129F5">
            <w:pPr>
              <w:pStyle w:val="CAR-TableText-Left"/>
            </w:pPr>
            <w:r w:rsidRPr="00755D7D">
              <w:t xml:space="preserve">30 </w:t>
            </w:r>
            <w:r w:rsidR="00D76977" w:rsidRPr="00755D7D">
              <w:t>perso</w:t>
            </w:r>
            <w:r w:rsidRPr="00755D7D">
              <w:t>n days</w:t>
            </w:r>
          </w:p>
        </w:tc>
      </w:tr>
    </w:tbl>
    <w:p w14:paraId="04B0D06A" w14:textId="77777777" w:rsidR="005B6C28" w:rsidRPr="00755D7D" w:rsidRDefault="002E303D" w:rsidP="006E37E2">
      <w:pPr>
        <w:pStyle w:val="CAR-BodyText-Left"/>
        <w:spacing w:before="240"/>
      </w:pPr>
      <w:r w:rsidRPr="00755D7D">
        <w:t xml:space="preserve">In addition to attendance for formal hearing days, CALDB members must spend time preparing for hearings, which involves the review and analysis of pleadings and evidence. </w:t>
      </w:r>
      <w:r w:rsidR="00F343EE" w:rsidRPr="00755D7D">
        <w:t>T</w:t>
      </w:r>
      <w:r w:rsidRPr="00755D7D">
        <w:t xml:space="preserve">here is also travel time to hearing venues and the preparation and review of determinations, subsequent decisions and orders. </w:t>
      </w:r>
    </w:p>
    <w:p w14:paraId="0E382649" w14:textId="77777777" w:rsidR="002E303D" w:rsidRPr="00755D7D" w:rsidRDefault="002E303D" w:rsidP="006E37E2">
      <w:pPr>
        <w:pStyle w:val="CAR-BodyText-Left"/>
      </w:pPr>
      <w:r w:rsidRPr="00755D7D">
        <w:t xml:space="preserve">In respect of each application that proceeds to a contested hearing, the Chairperson of the relevant Panel (who must either be the CALDB Chairperson or Deputy Chairperson) </w:t>
      </w:r>
      <w:r w:rsidR="007C145C" w:rsidRPr="00755D7D">
        <w:t xml:space="preserve">usually </w:t>
      </w:r>
      <w:r w:rsidRPr="00755D7D">
        <w:t xml:space="preserve">plays the principal role in drafting the </w:t>
      </w:r>
      <w:r w:rsidR="007C145C" w:rsidRPr="00755D7D">
        <w:t>decision</w:t>
      </w:r>
      <w:r w:rsidRPr="00755D7D">
        <w:t xml:space="preserve"> </w:t>
      </w:r>
      <w:r w:rsidR="007C145C" w:rsidRPr="00755D7D">
        <w:t>and</w:t>
      </w:r>
      <w:r w:rsidRPr="00755D7D">
        <w:t xml:space="preserve"> supporting reasons</w:t>
      </w:r>
      <w:r w:rsidR="007C145C" w:rsidRPr="00755D7D">
        <w:t>, albeit in close consultation with other Panel members</w:t>
      </w:r>
      <w:r w:rsidRPr="00755D7D">
        <w:t xml:space="preserve">. </w:t>
      </w:r>
      <w:r w:rsidR="007C145C" w:rsidRPr="00755D7D">
        <w:t>The</w:t>
      </w:r>
      <w:r w:rsidRPr="00755D7D">
        <w:t xml:space="preserve"> Board Chairperson is responsible for conducting pre</w:t>
      </w:r>
      <w:r w:rsidR="0044339B" w:rsidRPr="00755D7D">
        <w:noBreakHyphen/>
      </w:r>
      <w:r w:rsidRPr="00755D7D">
        <w:t xml:space="preserve">hearing conferences relating to all matters before CALDB and is also involved in the general affairs of CALDB, as is the Deputy Chairperson as necessary. </w:t>
      </w:r>
    </w:p>
    <w:p w14:paraId="1B2185B4" w14:textId="77777777" w:rsidR="005B6C28" w:rsidRPr="00755D7D" w:rsidRDefault="006516ED" w:rsidP="00E621BC">
      <w:pPr>
        <w:pStyle w:val="Heading2"/>
      </w:pPr>
      <w:bookmarkStart w:id="11" w:name="_Toc395079009"/>
      <w:r w:rsidRPr="00755D7D">
        <w:lastRenderedPageBreak/>
        <w:t>Results by nature of sanction</w:t>
      </w:r>
      <w:bookmarkEnd w:id="11"/>
    </w:p>
    <w:p w14:paraId="7013134B" w14:textId="77777777" w:rsidR="005B6C28" w:rsidRPr="00755D7D" w:rsidRDefault="002E303D" w:rsidP="006E37E2">
      <w:pPr>
        <w:pStyle w:val="CAR-BodyText-Left"/>
      </w:pPr>
      <w:r w:rsidRPr="00755D7D">
        <w:t>The table below records the results of matters before CALDB during the reporting year and the preceding five years, by nature of sanction. Undertakings required to be given may be in addition to other orders</w:t>
      </w:r>
      <w:r w:rsidR="00494F86" w:rsidRPr="00755D7D">
        <w:t xml:space="preserve">. </w:t>
      </w:r>
      <w:r w:rsidRPr="00755D7D">
        <w:t>The outcomes of some of the new matters brought to CALDB during the reporting year are not reflected in this year</w:t>
      </w:r>
      <w:r w:rsidR="0044339B" w:rsidRPr="00755D7D">
        <w:t>’</w:t>
      </w:r>
      <w:r w:rsidRPr="00755D7D">
        <w:t xml:space="preserve">s report. </w:t>
      </w:r>
    </w:p>
    <w:tbl>
      <w:tblPr>
        <w:tblW w:w="4883" w:type="pct"/>
        <w:tblInd w:w="108" w:type="dxa"/>
        <w:tblBorders>
          <w:top w:val="single" w:sz="2" w:space="0" w:color="000080"/>
          <w:bottom w:val="single" w:sz="2" w:space="0" w:color="000080"/>
        </w:tblBorders>
        <w:tblLook w:val="01E0" w:firstRow="1" w:lastRow="1" w:firstColumn="1" w:lastColumn="1" w:noHBand="0" w:noVBand="0"/>
      </w:tblPr>
      <w:tblGrid>
        <w:gridCol w:w="2285"/>
        <w:gridCol w:w="927"/>
        <w:gridCol w:w="929"/>
        <w:gridCol w:w="929"/>
        <w:gridCol w:w="929"/>
        <w:gridCol w:w="929"/>
        <w:gridCol w:w="814"/>
      </w:tblGrid>
      <w:tr w:rsidR="002E303D" w:rsidRPr="00755D7D" w14:paraId="4C267738" w14:textId="77777777" w:rsidTr="007132B3">
        <w:trPr>
          <w:tblHeader/>
        </w:trPr>
        <w:tc>
          <w:tcPr>
            <w:tcW w:w="1475" w:type="pct"/>
            <w:tcBorders>
              <w:top w:val="single" w:sz="2" w:space="0" w:color="000080"/>
              <w:bottom w:val="single" w:sz="2" w:space="0" w:color="000080"/>
            </w:tcBorders>
            <w:shd w:val="clear" w:color="auto" w:fill="D5D5FF"/>
          </w:tcPr>
          <w:p w14:paraId="26D81A56" w14:textId="77777777" w:rsidR="002524C7" w:rsidRPr="00755D7D" w:rsidRDefault="002E303D">
            <w:pPr>
              <w:pStyle w:val="CAR-TableColHead-Left"/>
              <w:widowControl w:val="0"/>
            </w:pPr>
            <w:r w:rsidRPr="00755D7D">
              <w:t>Results of application</w:t>
            </w:r>
          </w:p>
        </w:tc>
        <w:tc>
          <w:tcPr>
            <w:tcW w:w="599" w:type="pct"/>
            <w:tcBorders>
              <w:top w:val="single" w:sz="2" w:space="0" w:color="000080"/>
              <w:bottom w:val="single" w:sz="2" w:space="0" w:color="000080"/>
            </w:tcBorders>
            <w:shd w:val="clear" w:color="auto" w:fill="D5D5FF"/>
          </w:tcPr>
          <w:p w14:paraId="4B7712E8" w14:textId="77777777" w:rsidR="002524C7" w:rsidRPr="00755D7D" w:rsidRDefault="002E303D" w:rsidP="003B554F">
            <w:pPr>
              <w:pStyle w:val="CAR-TableColHead-Right"/>
              <w:keepNext w:val="0"/>
              <w:widowControl w:val="0"/>
            </w:pPr>
            <w:r w:rsidRPr="00755D7D">
              <w:t>09</w:t>
            </w:r>
            <w:r w:rsidR="003B554F" w:rsidRPr="00755D7D">
              <w:t>–</w:t>
            </w:r>
            <w:r w:rsidRPr="00755D7D">
              <w:t>10</w:t>
            </w:r>
          </w:p>
        </w:tc>
        <w:tc>
          <w:tcPr>
            <w:tcW w:w="600" w:type="pct"/>
            <w:tcBorders>
              <w:top w:val="single" w:sz="2" w:space="0" w:color="000080"/>
              <w:bottom w:val="single" w:sz="2" w:space="0" w:color="000080"/>
            </w:tcBorders>
            <w:shd w:val="clear" w:color="auto" w:fill="D5D5FF"/>
          </w:tcPr>
          <w:p w14:paraId="321D3AEE" w14:textId="77777777" w:rsidR="002524C7" w:rsidRPr="00755D7D" w:rsidRDefault="003B554F">
            <w:pPr>
              <w:pStyle w:val="CAR-TableColHead-Right"/>
              <w:keepNext w:val="0"/>
              <w:widowControl w:val="0"/>
            </w:pPr>
            <w:r w:rsidRPr="00755D7D">
              <w:t>09–</w:t>
            </w:r>
            <w:r w:rsidR="002E303D" w:rsidRPr="00755D7D">
              <w:t>10</w:t>
            </w:r>
          </w:p>
        </w:tc>
        <w:tc>
          <w:tcPr>
            <w:tcW w:w="600" w:type="pct"/>
            <w:tcBorders>
              <w:top w:val="single" w:sz="2" w:space="0" w:color="000080"/>
              <w:bottom w:val="single" w:sz="2" w:space="0" w:color="000080"/>
            </w:tcBorders>
            <w:shd w:val="clear" w:color="auto" w:fill="D5D5FF"/>
          </w:tcPr>
          <w:p w14:paraId="266A7E7A" w14:textId="77777777" w:rsidR="002524C7" w:rsidRPr="00755D7D" w:rsidRDefault="003B554F">
            <w:pPr>
              <w:pStyle w:val="CAR-TableColHead-Right"/>
              <w:keepNext w:val="0"/>
              <w:widowControl w:val="0"/>
            </w:pPr>
            <w:r w:rsidRPr="00755D7D">
              <w:t>10–</w:t>
            </w:r>
            <w:r w:rsidR="002E303D" w:rsidRPr="00755D7D">
              <w:t>11</w:t>
            </w:r>
          </w:p>
        </w:tc>
        <w:tc>
          <w:tcPr>
            <w:tcW w:w="600" w:type="pct"/>
            <w:tcBorders>
              <w:top w:val="single" w:sz="2" w:space="0" w:color="000080"/>
              <w:bottom w:val="single" w:sz="2" w:space="0" w:color="000080"/>
            </w:tcBorders>
            <w:shd w:val="clear" w:color="auto" w:fill="D5D5FF"/>
          </w:tcPr>
          <w:p w14:paraId="5E82C2C5" w14:textId="77777777" w:rsidR="002524C7" w:rsidRPr="00755D7D" w:rsidRDefault="002E303D">
            <w:pPr>
              <w:pStyle w:val="CAR-TableColHead-Right"/>
              <w:keepNext w:val="0"/>
              <w:widowControl w:val="0"/>
            </w:pPr>
            <w:r w:rsidRPr="00755D7D">
              <w:t>11</w:t>
            </w:r>
            <w:r w:rsidR="003B554F" w:rsidRPr="00755D7D">
              <w:t>–</w:t>
            </w:r>
            <w:r w:rsidRPr="00755D7D">
              <w:t>12</w:t>
            </w:r>
          </w:p>
        </w:tc>
        <w:tc>
          <w:tcPr>
            <w:tcW w:w="600" w:type="pct"/>
            <w:tcBorders>
              <w:top w:val="single" w:sz="2" w:space="0" w:color="000080"/>
              <w:bottom w:val="single" w:sz="2" w:space="0" w:color="000080"/>
            </w:tcBorders>
            <w:shd w:val="clear" w:color="auto" w:fill="D5D5FF"/>
          </w:tcPr>
          <w:p w14:paraId="5976DF19" w14:textId="77777777" w:rsidR="002524C7" w:rsidRPr="00755D7D" w:rsidRDefault="002E303D">
            <w:pPr>
              <w:pStyle w:val="CAR-TableColHead-Right"/>
              <w:keepNext w:val="0"/>
              <w:widowControl w:val="0"/>
            </w:pPr>
            <w:r w:rsidRPr="00755D7D">
              <w:t>12</w:t>
            </w:r>
            <w:r w:rsidR="003B554F" w:rsidRPr="00755D7D">
              <w:t>–</w:t>
            </w:r>
            <w:r w:rsidRPr="00755D7D">
              <w:t>13</w:t>
            </w:r>
          </w:p>
        </w:tc>
        <w:tc>
          <w:tcPr>
            <w:tcW w:w="526" w:type="pct"/>
            <w:tcBorders>
              <w:top w:val="single" w:sz="2" w:space="0" w:color="000080"/>
              <w:bottom w:val="single" w:sz="2" w:space="0" w:color="000080"/>
            </w:tcBorders>
            <w:shd w:val="clear" w:color="auto" w:fill="D5D5FF"/>
          </w:tcPr>
          <w:p w14:paraId="4059B2A0" w14:textId="77777777" w:rsidR="002524C7" w:rsidRPr="00755D7D" w:rsidRDefault="002E303D">
            <w:pPr>
              <w:pStyle w:val="CAR-TableColHead-Right"/>
              <w:keepNext w:val="0"/>
              <w:widowControl w:val="0"/>
            </w:pPr>
            <w:r w:rsidRPr="00755D7D">
              <w:t>13</w:t>
            </w:r>
            <w:r w:rsidR="003B554F" w:rsidRPr="00755D7D">
              <w:t>–</w:t>
            </w:r>
            <w:r w:rsidRPr="00755D7D">
              <w:t>14</w:t>
            </w:r>
          </w:p>
        </w:tc>
      </w:tr>
      <w:tr w:rsidR="002E303D" w:rsidRPr="00755D7D" w14:paraId="3824DDDE" w14:textId="77777777" w:rsidTr="003B554F">
        <w:tc>
          <w:tcPr>
            <w:tcW w:w="1475" w:type="pct"/>
            <w:tcBorders>
              <w:top w:val="single" w:sz="2" w:space="0" w:color="000080"/>
            </w:tcBorders>
          </w:tcPr>
          <w:p w14:paraId="7AB88A0A" w14:textId="77777777" w:rsidR="002524C7" w:rsidRPr="00755D7D" w:rsidRDefault="002E303D">
            <w:pPr>
              <w:pStyle w:val="CAR-TableText-Left"/>
              <w:widowControl w:val="0"/>
            </w:pPr>
            <w:r w:rsidRPr="00755D7D">
              <w:t>Registration cancelled</w:t>
            </w:r>
          </w:p>
        </w:tc>
        <w:tc>
          <w:tcPr>
            <w:tcW w:w="599" w:type="pct"/>
            <w:tcBorders>
              <w:top w:val="single" w:sz="2" w:space="0" w:color="000080"/>
            </w:tcBorders>
          </w:tcPr>
          <w:p w14:paraId="149494A7" w14:textId="77777777" w:rsidR="002524C7" w:rsidRPr="00755D7D" w:rsidRDefault="002E303D">
            <w:pPr>
              <w:pStyle w:val="CAR-TableText-Right"/>
              <w:widowControl w:val="0"/>
              <w:rPr>
                <w:color w:val="000000"/>
              </w:rPr>
            </w:pPr>
            <w:r w:rsidRPr="00755D7D">
              <w:t>1</w:t>
            </w:r>
          </w:p>
        </w:tc>
        <w:tc>
          <w:tcPr>
            <w:tcW w:w="600" w:type="pct"/>
            <w:tcBorders>
              <w:top w:val="single" w:sz="2" w:space="0" w:color="000080"/>
            </w:tcBorders>
          </w:tcPr>
          <w:p w14:paraId="23177741" w14:textId="77777777" w:rsidR="002524C7" w:rsidRPr="00755D7D" w:rsidRDefault="002E303D">
            <w:pPr>
              <w:pStyle w:val="CAR-TableText-Right"/>
              <w:widowControl w:val="0"/>
              <w:rPr>
                <w:color w:val="000000"/>
              </w:rPr>
            </w:pPr>
            <w:r w:rsidRPr="00755D7D">
              <w:t>1</w:t>
            </w:r>
          </w:p>
        </w:tc>
        <w:tc>
          <w:tcPr>
            <w:tcW w:w="600" w:type="pct"/>
            <w:tcBorders>
              <w:top w:val="single" w:sz="2" w:space="0" w:color="000080"/>
            </w:tcBorders>
          </w:tcPr>
          <w:p w14:paraId="5646AF03" w14:textId="77777777" w:rsidR="002524C7" w:rsidRPr="00755D7D" w:rsidRDefault="0044339B">
            <w:pPr>
              <w:pStyle w:val="CAR-TableText-Right"/>
              <w:widowControl w:val="0"/>
              <w:rPr>
                <w:color w:val="000000"/>
              </w:rPr>
            </w:pPr>
            <w:r w:rsidRPr="00755D7D">
              <w:noBreakHyphen/>
            </w:r>
          </w:p>
        </w:tc>
        <w:tc>
          <w:tcPr>
            <w:tcW w:w="600" w:type="pct"/>
            <w:tcBorders>
              <w:top w:val="single" w:sz="2" w:space="0" w:color="000080"/>
            </w:tcBorders>
          </w:tcPr>
          <w:p w14:paraId="70B4DAFB" w14:textId="77777777" w:rsidR="002524C7" w:rsidRPr="00755D7D" w:rsidRDefault="002E303D">
            <w:pPr>
              <w:pStyle w:val="CAR-TableText-Right"/>
              <w:widowControl w:val="0"/>
              <w:rPr>
                <w:color w:val="000000"/>
              </w:rPr>
            </w:pPr>
            <w:r w:rsidRPr="00755D7D">
              <w:t>1</w:t>
            </w:r>
          </w:p>
        </w:tc>
        <w:tc>
          <w:tcPr>
            <w:tcW w:w="600" w:type="pct"/>
            <w:tcBorders>
              <w:top w:val="single" w:sz="2" w:space="0" w:color="000080"/>
            </w:tcBorders>
          </w:tcPr>
          <w:p w14:paraId="6541C7AB" w14:textId="77777777" w:rsidR="002524C7" w:rsidRPr="00755D7D" w:rsidRDefault="002E303D">
            <w:pPr>
              <w:pStyle w:val="CAR-TableText-Right"/>
              <w:widowControl w:val="0"/>
              <w:rPr>
                <w:color w:val="000000"/>
              </w:rPr>
            </w:pPr>
            <w:r w:rsidRPr="00755D7D">
              <w:t>1</w:t>
            </w:r>
          </w:p>
        </w:tc>
        <w:tc>
          <w:tcPr>
            <w:tcW w:w="526" w:type="pct"/>
            <w:tcBorders>
              <w:top w:val="single" w:sz="2" w:space="0" w:color="000080"/>
            </w:tcBorders>
          </w:tcPr>
          <w:p w14:paraId="2795C7F6" w14:textId="77777777" w:rsidR="002524C7" w:rsidRPr="00755D7D" w:rsidRDefault="00C7672F">
            <w:pPr>
              <w:pStyle w:val="CAR-TableText-Right"/>
              <w:widowControl w:val="0"/>
              <w:rPr>
                <w:color w:val="000000"/>
              </w:rPr>
            </w:pPr>
            <w:r w:rsidRPr="00755D7D">
              <w:t>3</w:t>
            </w:r>
          </w:p>
        </w:tc>
      </w:tr>
      <w:tr w:rsidR="002E303D" w:rsidRPr="00755D7D" w14:paraId="773772D4" w14:textId="77777777" w:rsidTr="003B554F">
        <w:tc>
          <w:tcPr>
            <w:tcW w:w="1475" w:type="pct"/>
          </w:tcPr>
          <w:p w14:paraId="79605BA5" w14:textId="77777777" w:rsidR="002524C7" w:rsidRPr="00755D7D" w:rsidRDefault="002E303D">
            <w:pPr>
              <w:pStyle w:val="CAR-TableText-Left"/>
              <w:widowControl w:val="0"/>
              <w:rPr>
                <w:color w:val="000000"/>
              </w:rPr>
            </w:pPr>
            <w:r w:rsidRPr="00755D7D">
              <w:t>Registration suspended</w:t>
            </w:r>
          </w:p>
        </w:tc>
        <w:tc>
          <w:tcPr>
            <w:tcW w:w="599" w:type="pct"/>
          </w:tcPr>
          <w:p w14:paraId="00A8CC85" w14:textId="77777777" w:rsidR="002524C7" w:rsidRPr="00755D7D" w:rsidRDefault="002E303D">
            <w:pPr>
              <w:pStyle w:val="CAR-TableText-Right"/>
              <w:widowControl w:val="0"/>
              <w:rPr>
                <w:color w:val="000000"/>
              </w:rPr>
            </w:pPr>
            <w:r w:rsidRPr="00755D7D">
              <w:t>2</w:t>
            </w:r>
          </w:p>
        </w:tc>
        <w:tc>
          <w:tcPr>
            <w:tcW w:w="600" w:type="pct"/>
          </w:tcPr>
          <w:p w14:paraId="66BABC4B" w14:textId="77777777" w:rsidR="002524C7" w:rsidRPr="00755D7D" w:rsidRDefault="002E303D">
            <w:pPr>
              <w:pStyle w:val="CAR-TableText-Right"/>
              <w:widowControl w:val="0"/>
              <w:rPr>
                <w:color w:val="000000"/>
              </w:rPr>
            </w:pPr>
            <w:r w:rsidRPr="00755D7D">
              <w:t>2</w:t>
            </w:r>
          </w:p>
        </w:tc>
        <w:tc>
          <w:tcPr>
            <w:tcW w:w="600" w:type="pct"/>
          </w:tcPr>
          <w:p w14:paraId="24D66902" w14:textId="77777777" w:rsidR="002524C7" w:rsidRPr="00755D7D" w:rsidRDefault="0044339B">
            <w:pPr>
              <w:pStyle w:val="CAR-TableText-Right"/>
              <w:widowControl w:val="0"/>
              <w:rPr>
                <w:color w:val="000000"/>
              </w:rPr>
            </w:pPr>
            <w:r w:rsidRPr="00755D7D">
              <w:noBreakHyphen/>
            </w:r>
          </w:p>
        </w:tc>
        <w:tc>
          <w:tcPr>
            <w:tcW w:w="600" w:type="pct"/>
          </w:tcPr>
          <w:p w14:paraId="508735E9" w14:textId="77777777" w:rsidR="002524C7" w:rsidRPr="00755D7D" w:rsidRDefault="0044339B">
            <w:pPr>
              <w:pStyle w:val="CAR-TableText-Right"/>
              <w:widowControl w:val="0"/>
              <w:rPr>
                <w:color w:val="000000"/>
              </w:rPr>
            </w:pPr>
            <w:r w:rsidRPr="00755D7D">
              <w:noBreakHyphen/>
            </w:r>
          </w:p>
        </w:tc>
        <w:tc>
          <w:tcPr>
            <w:tcW w:w="600" w:type="pct"/>
          </w:tcPr>
          <w:p w14:paraId="6E2C10B8" w14:textId="77777777" w:rsidR="002524C7" w:rsidRPr="00755D7D" w:rsidRDefault="0044339B">
            <w:pPr>
              <w:pStyle w:val="CAR-TableText-Right"/>
              <w:widowControl w:val="0"/>
              <w:rPr>
                <w:color w:val="000000"/>
              </w:rPr>
            </w:pPr>
            <w:r w:rsidRPr="00755D7D">
              <w:noBreakHyphen/>
            </w:r>
          </w:p>
        </w:tc>
        <w:tc>
          <w:tcPr>
            <w:tcW w:w="526" w:type="pct"/>
          </w:tcPr>
          <w:p w14:paraId="2B8A6452" w14:textId="77777777" w:rsidR="002524C7" w:rsidRPr="00755D7D" w:rsidRDefault="002E303D">
            <w:pPr>
              <w:pStyle w:val="CAR-TableText-Right"/>
              <w:widowControl w:val="0"/>
              <w:rPr>
                <w:color w:val="000000"/>
              </w:rPr>
            </w:pPr>
            <w:r w:rsidRPr="00755D7D">
              <w:t>3</w:t>
            </w:r>
          </w:p>
        </w:tc>
      </w:tr>
      <w:tr w:rsidR="002E303D" w:rsidRPr="00755D7D" w14:paraId="339C659E" w14:textId="77777777" w:rsidTr="003B554F">
        <w:tc>
          <w:tcPr>
            <w:tcW w:w="1475" w:type="pct"/>
          </w:tcPr>
          <w:p w14:paraId="253D3570" w14:textId="77777777" w:rsidR="002524C7" w:rsidRPr="00755D7D" w:rsidRDefault="002E303D">
            <w:pPr>
              <w:pStyle w:val="CAR-TableText-Left"/>
              <w:widowControl w:val="0"/>
            </w:pPr>
            <w:r w:rsidRPr="00755D7D">
              <w:t>Admonition</w:t>
            </w:r>
          </w:p>
        </w:tc>
        <w:tc>
          <w:tcPr>
            <w:tcW w:w="599" w:type="pct"/>
          </w:tcPr>
          <w:p w14:paraId="3837DE48" w14:textId="77777777" w:rsidR="002524C7" w:rsidRPr="00755D7D" w:rsidRDefault="0044339B">
            <w:pPr>
              <w:pStyle w:val="CAR-TableText-Right"/>
              <w:widowControl w:val="0"/>
              <w:rPr>
                <w:color w:val="000000"/>
              </w:rPr>
            </w:pPr>
            <w:r w:rsidRPr="00755D7D">
              <w:noBreakHyphen/>
            </w:r>
          </w:p>
        </w:tc>
        <w:tc>
          <w:tcPr>
            <w:tcW w:w="600" w:type="pct"/>
          </w:tcPr>
          <w:p w14:paraId="52574CC4" w14:textId="77777777" w:rsidR="002524C7" w:rsidRPr="00755D7D" w:rsidRDefault="0044339B">
            <w:pPr>
              <w:pStyle w:val="CAR-TableText-Right"/>
              <w:widowControl w:val="0"/>
              <w:rPr>
                <w:color w:val="000000"/>
              </w:rPr>
            </w:pPr>
            <w:r w:rsidRPr="00755D7D">
              <w:noBreakHyphen/>
            </w:r>
          </w:p>
        </w:tc>
        <w:tc>
          <w:tcPr>
            <w:tcW w:w="600" w:type="pct"/>
          </w:tcPr>
          <w:p w14:paraId="7A28E885" w14:textId="77777777" w:rsidR="002524C7" w:rsidRPr="00755D7D" w:rsidRDefault="0044339B">
            <w:pPr>
              <w:pStyle w:val="CAR-TableText-Right"/>
              <w:widowControl w:val="0"/>
              <w:rPr>
                <w:color w:val="000000"/>
              </w:rPr>
            </w:pPr>
            <w:r w:rsidRPr="00755D7D">
              <w:noBreakHyphen/>
            </w:r>
          </w:p>
        </w:tc>
        <w:tc>
          <w:tcPr>
            <w:tcW w:w="600" w:type="pct"/>
          </w:tcPr>
          <w:p w14:paraId="0E6D370C" w14:textId="77777777" w:rsidR="002524C7" w:rsidRPr="00755D7D" w:rsidRDefault="0044339B">
            <w:pPr>
              <w:pStyle w:val="CAR-TableText-Right"/>
              <w:widowControl w:val="0"/>
              <w:rPr>
                <w:color w:val="000000"/>
              </w:rPr>
            </w:pPr>
            <w:r w:rsidRPr="00755D7D">
              <w:noBreakHyphen/>
            </w:r>
          </w:p>
        </w:tc>
        <w:tc>
          <w:tcPr>
            <w:tcW w:w="600" w:type="pct"/>
          </w:tcPr>
          <w:p w14:paraId="0EE57D16" w14:textId="77777777" w:rsidR="002524C7" w:rsidRPr="00755D7D" w:rsidRDefault="0044339B">
            <w:pPr>
              <w:pStyle w:val="CAR-TableText-Right"/>
              <w:widowControl w:val="0"/>
              <w:rPr>
                <w:color w:val="000000"/>
              </w:rPr>
            </w:pPr>
            <w:r w:rsidRPr="00755D7D">
              <w:noBreakHyphen/>
            </w:r>
          </w:p>
        </w:tc>
        <w:tc>
          <w:tcPr>
            <w:tcW w:w="526" w:type="pct"/>
          </w:tcPr>
          <w:p w14:paraId="14FC718A" w14:textId="77777777" w:rsidR="002524C7" w:rsidRPr="00755D7D" w:rsidRDefault="0044339B">
            <w:pPr>
              <w:pStyle w:val="CAR-TableText-Right"/>
              <w:widowControl w:val="0"/>
              <w:rPr>
                <w:color w:val="000000"/>
              </w:rPr>
            </w:pPr>
            <w:r w:rsidRPr="00755D7D">
              <w:noBreakHyphen/>
            </w:r>
          </w:p>
        </w:tc>
      </w:tr>
      <w:tr w:rsidR="002E303D" w:rsidRPr="00755D7D" w14:paraId="50BC8CFF" w14:textId="77777777" w:rsidTr="003B554F">
        <w:tc>
          <w:tcPr>
            <w:tcW w:w="1475" w:type="pct"/>
          </w:tcPr>
          <w:p w14:paraId="11F337DE" w14:textId="77777777" w:rsidR="002524C7" w:rsidRPr="00755D7D" w:rsidRDefault="002E303D">
            <w:pPr>
              <w:pStyle w:val="CAR-TableText-Left"/>
              <w:widowControl w:val="0"/>
            </w:pPr>
            <w:r w:rsidRPr="00755D7D">
              <w:t>Reprimand</w:t>
            </w:r>
          </w:p>
        </w:tc>
        <w:tc>
          <w:tcPr>
            <w:tcW w:w="599" w:type="pct"/>
          </w:tcPr>
          <w:p w14:paraId="3AB2EE7B" w14:textId="77777777" w:rsidR="002524C7" w:rsidRPr="00755D7D" w:rsidRDefault="0044339B">
            <w:pPr>
              <w:pStyle w:val="CAR-TableText-Right"/>
              <w:widowControl w:val="0"/>
              <w:rPr>
                <w:color w:val="000000"/>
              </w:rPr>
            </w:pPr>
            <w:r w:rsidRPr="00755D7D">
              <w:noBreakHyphen/>
            </w:r>
          </w:p>
        </w:tc>
        <w:tc>
          <w:tcPr>
            <w:tcW w:w="600" w:type="pct"/>
          </w:tcPr>
          <w:p w14:paraId="7D73AC50" w14:textId="77777777" w:rsidR="002524C7" w:rsidRPr="00755D7D" w:rsidRDefault="0044339B">
            <w:pPr>
              <w:pStyle w:val="CAR-TableText-Right"/>
              <w:widowControl w:val="0"/>
              <w:rPr>
                <w:color w:val="000000"/>
              </w:rPr>
            </w:pPr>
            <w:r w:rsidRPr="00755D7D">
              <w:noBreakHyphen/>
            </w:r>
          </w:p>
        </w:tc>
        <w:tc>
          <w:tcPr>
            <w:tcW w:w="600" w:type="pct"/>
          </w:tcPr>
          <w:p w14:paraId="59A66BC7" w14:textId="77777777" w:rsidR="002524C7" w:rsidRPr="00755D7D" w:rsidRDefault="0044339B">
            <w:pPr>
              <w:pStyle w:val="CAR-TableText-Right"/>
              <w:widowControl w:val="0"/>
              <w:rPr>
                <w:color w:val="000000"/>
              </w:rPr>
            </w:pPr>
            <w:r w:rsidRPr="00755D7D">
              <w:noBreakHyphen/>
            </w:r>
          </w:p>
        </w:tc>
        <w:tc>
          <w:tcPr>
            <w:tcW w:w="600" w:type="pct"/>
          </w:tcPr>
          <w:p w14:paraId="60818EBA" w14:textId="77777777" w:rsidR="002524C7" w:rsidRPr="00755D7D" w:rsidRDefault="0044339B">
            <w:pPr>
              <w:pStyle w:val="CAR-TableText-Right"/>
              <w:widowControl w:val="0"/>
              <w:rPr>
                <w:color w:val="000000"/>
              </w:rPr>
            </w:pPr>
            <w:r w:rsidRPr="00755D7D">
              <w:noBreakHyphen/>
            </w:r>
          </w:p>
        </w:tc>
        <w:tc>
          <w:tcPr>
            <w:tcW w:w="600" w:type="pct"/>
          </w:tcPr>
          <w:p w14:paraId="654D62D0" w14:textId="77777777" w:rsidR="002524C7" w:rsidRPr="00755D7D" w:rsidRDefault="0044339B">
            <w:pPr>
              <w:pStyle w:val="CAR-TableText-Right"/>
              <w:widowControl w:val="0"/>
              <w:rPr>
                <w:color w:val="000000"/>
              </w:rPr>
            </w:pPr>
            <w:r w:rsidRPr="00755D7D">
              <w:noBreakHyphen/>
            </w:r>
          </w:p>
        </w:tc>
        <w:tc>
          <w:tcPr>
            <w:tcW w:w="526" w:type="pct"/>
          </w:tcPr>
          <w:p w14:paraId="64D4BF52" w14:textId="77777777" w:rsidR="002524C7" w:rsidRPr="00755D7D" w:rsidRDefault="0044339B">
            <w:pPr>
              <w:pStyle w:val="CAR-TableText-Right"/>
              <w:widowControl w:val="0"/>
              <w:rPr>
                <w:color w:val="000000"/>
              </w:rPr>
            </w:pPr>
            <w:r w:rsidRPr="00755D7D">
              <w:noBreakHyphen/>
            </w:r>
          </w:p>
        </w:tc>
      </w:tr>
      <w:tr w:rsidR="002E303D" w:rsidRPr="00755D7D" w14:paraId="2A04947F" w14:textId="77777777" w:rsidTr="003B554F">
        <w:tc>
          <w:tcPr>
            <w:tcW w:w="1475" w:type="pct"/>
          </w:tcPr>
          <w:p w14:paraId="6C79F52A" w14:textId="77777777" w:rsidR="002524C7" w:rsidRPr="00755D7D" w:rsidRDefault="002E303D">
            <w:pPr>
              <w:pStyle w:val="CAR-TableText-Left"/>
              <w:widowControl w:val="0"/>
            </w:pPr>
            <w:r w:rsidRPr="00755D7D">
              <w:t>Undertakings required to be given</w:t>
            </w:r>
          </w:p>
        </w:tc>
        <w:tc>
          <w:tcPr>
            <w:tcW w:w="599" w:type="pct"/>
          </w:tcPr>
          <w:p w14:paraId="1DBF46FE" w14:textId="77777777" w:rsidR="002524C7" w:rsidRPr="00755D7D" w:rsidRDefault="002E303D">
            <w:pPr>
              <w:pStyle w:val="CAR-TableText-Right"/>
              <w:widowControl w:val="0"/>
              <w:rPr>
                <w:color w:val="000000"/>
              </w:rPr>
            </w:pPr>
            <w:r w:rsidRPr="00755D7D">
              <w:t>2</w:t>
            </w:r>
          </w:p>
        </w:tc>
        <w:tc>
          <w:tcPr>
            <w:tcW w:w="600" w:type="pct"/>
          </w:tcPr>
          <w:p w14:paraId="4E1345FB" w14:textId="77777777" w:rsidR="002524C7" w:rsidRPr="00755D7D" w:rsidRDefault="002E303D">
            <w:pPr>
              <w:pStyle w:val="CAR-TableText-Right"/>
              <w:widowControl w:val="0"/>
              <w:rPr>
                <w:color w:val="000000"/>
              </w:rPr>
            </w:pPr>
            <w:r w:rsidRPr="00755D7D">
              <w:t>2</w:t>
            </w:r>
          </w:p>
        </w:tc>
        <w:tc>
          <w:tcPr>
            <w:tcW w:w="600" w:type="pct"/>
          </w:tcPr>
          <w:p w14:paraId="54708181" w14:textId="77777777" w:rsidR="002524C7" w:rsidRPr="00755D7D" w:rsidRDefault="0044339B">
            <w:pPr>
              <w:pStyle w:val="CAR-TableText-Right"/>
              <w:widowControl w:val="0"/>
              <w:rPr>
                <w:color w:val="000000"/>
              </w:rPr>
            </w:pPr>
            <w:r w:rsidRPr="00755D7D">
              <w:noBreakHyphen/>
            </w:r>
          </w:p>
        </w:tc>
        <w:tc>
          <w:tcPr>
            <w:tcW w:w="600" w:type="pct"/>
          </w:tcPr>
          <w:p w14:paraId="7B250B19" w14:textId="77777777" w:rsidR="002524C7" w:rsidRPr="00755D7D" w:rsidRDefault="0044339B">
            <w:pPr>
              <w:pStyle w:val="CAR-TableText-Right"/>
              <w:widowControl w:val="0"/>
              <w:rPr>
                <w:color w:val="000000"/>
              </w:rPr>
            </w:pPr>
            <w:r w:rsidRPr="00755D7D">
              <w:noBreakHyphen/>
            </w:r>
          </w:p>
        </w:tc>
        <w:tc>
          <w:tcPr>
            <w:tcW w:w="600" w:type="pct"/>
          </w:tcPr>
          <w:p w14:paraId="5727CB19" w14:textId="77777777" w:rsidR="002524C7" w:rsidRPr="00755D7D" w:rsidRDefault="0044339B">
            <w:pPr>
              <w:pStyle w:val="CAR-TableText-Right"/>
              <w:widowControl w:val="0"/>
              <w:rPr>
                <w:color w:val="000000"/>
              </w:rPr>
            </w:pPr>
            <w:r w:rsidRPr="00755D7D">
              <w:noBreakHyphen/>
            </w:r>
          </w:p>
        </w:tc>
        <w:tc>
          <w:tcPr>
            <w:tcW w:w="526" w:type="pct"/>
          </w:tcPr>
          <w:p w14:paraId="2CA75214" w14:textId="77777777" w:rsidR="002524C7" w:rsidRPr="00755D7D" w:rsidRDefault="002E303D">
            <w:pPr>
              <w:pStyle w:val="CAR-TableText-Right"/>
              <w:widowControl w:val="0"/>
              <w:rPr>
                <w:color w:val="000000"/>
              </w:rPr>
            </w:pPr>
            <w:r w:rsidRPr="00755D7D">
              <w:t>2</w:t>
            </w:r>
          </w:p>
        </w:tc>
      </w:tr>
      <w:tr w:rsidR="002E303D" w:rsidRPr="00755D7D" w14:paraId="39213D7A" w14:textId="77777777" w:rsidTr="003B554F">
        <w:tc>
          <w:tcPr>
            <w:tcW w:w="1475" w:type="pct"/>
          </w:tcPr>
          <w:p w14:paraId="0CC18DB4" w14:textId="77777777" w:rsidR="002524C7" w:rsidRPr="00755D7D" w:rsidRDefault="002E303D">
            <w:pPr>
              <w:pStyle w:val="CAR-TableText-Left"/>
              <w:widowControl w:val="0"/>
            </w:pPr>
            <w:r w:rsidRPr="00755D7D">
              <w:t>Dismissed</w:t>
            </w:r>
          </w:p>
        </w:tc>
        <w:tc>
          <w:tcPr>
            <w:tcW w:w="599" w:type="pct"/>
          </w:tcPr>
          <w:p w14:paraId="7865E364" w14:textId="77777777" w:rsidR="002524C7" w:rsidRPr="00755D7D" w:rsidRDefault="0044339B">
            <w:pPr>
              <w:pStyle w:val="CAR-TableText-Right"/>
              <w:widowControl w:val="0"/>
              <w:rPr>
                <w:color w:val="000000"/>
              </w:rPr>
            </w:pPr>
            <w:r w:rsidRPr="00755D7D">
              <w:noBreakHyphen/>
            </w:r>
          </w:p>
        </w:tc>
        <w:tc>
          <w:tcPr>
            <w:tcW w:w="600" w:type="pct"/>
          </w:tcPr>
          <w:p w14:paraId="77D16B96" w14:textId="77777777" w:rsidR="002524C7" w:rsidRPr="00755D7D" w:rsidRDefault="0044339B">
            <w:pPr>
              <w:pStyle w:val="CAR-TableText-Right"/>
              <w:widowControl w:val="0"/>
              <w:rPr>
                <w:color w:val="000000"/>
              </w:rPr>
            </w:pPr>
            <w:r w:rsidRPr="00755D7D">
              <w:noBreakHyphen/>
            </w:r>
          </w:p>
        </w:tc>
        <w:tc>
          <w:tcPr>
            <w:tcW w:w="600" w:type="pct"/>
          </w:tcPr>
          <w:p w14:paraId="381947DD" w14:textId="77777777" w:rsidR="002524C7" w:rsidRPr="00755D7D" w:rsidRDefault="0044339B">
            <w:pPr>
              <w:pStyle w:val="CAR-TableText-Right"/>
              <w:widowControl w:val="0"/>
              <w:rPr>
                <w:color w:val="000000"/>
              </w:rPr>
            </w:pPr>
            <w:r w:rsidRPr="00755D7D">
              <w:noBreakHyphen/>
            </w:r>
          </w:p>
        </w:tc>
        <w:tc>
          <w:tcPr>
            <w:tcW w:w="600" w:type="pct"/>
          </w:tcPr>
          <w:p w14:paraId="3CE6B231" w14:textId="77777777" w:rsidR="002524C7" w:rsidRPr="00755D7D" w:rsidRDefault="0044339B">
            <w:pPr>
              <w:pStyle w:val="CAR-TableText-Right"/>
              <w:widowControl w:val="0"/>
              <w:rPr>
                <w:color w:val="000000"/>
              </w:rPr>
            </w:pPr>
            <w:r w:rsidRPr="00755D7D">
              <w:noBreakHyphen/>
            </w:r>
          </w:p>
        </w:tc>
        <w:tc>
          <w:tcPr>
            <w:tcW w:w="600" w:type="pct"/>
          </w:tcPr>
          <w:p w14:paraId="794ED185" w14:textId="77777777" w:rsidR="002524C7" w:rsidRPr="00755D7D" w:rsidRDefault="0044339B">
            <w:pPr>
              <w:pStyle w:val="CAR-TableText-Right"/>
              <w:widowControl w:val="0"/>
              <w:rPr>
                <w:color w:val="000000"/>
              </w:rPr>
            </w:pPr>
            <w:r w:rsidRPr="00755D7D">
              <w:noBreakHyphen/>
            </w:r>
          </w:p>
        </w:tc>
        <w:tc>
          <w:tcPr>
            <w:tcW w:w="526" w:type="pct"/>
          </w:tcPr>
          <w:p w14:paraId="5FC8E5B5" w14:textId="77777777" w:rsidR="002524C7" w:rsidRPr="00755D7D" w:rsidRDefault="0044339B">
            <w:pPr>
              <w:pStyle w:val="CAR-TableText-Right"/>
              <w:widowControl w:val="0"/>
              <w:rPr>
                <w:color w:val="000000"/>
              </w:rPr>
            </w:pPr>
            <w:r w:rsidRPr="00755D7D">
              <w:noBreakHyphen/>
            </w:r>
          </w:p>
        </w:tc>
      </w:tr>
      <w:tr w:rsidR="002E303D" w:rsidRPr="00755D7D" w14:paraId="0D937B5F" w14:textId="77777777" w:rsidTr="003B554F">
        <w:tc>
          <w:tcPr>
            <w:tcW w:w="1475" w:type="pct"/>
          </w:tcPr>
          <w:p w14:paraId="4B403A4D" w14:textId="77777777" w:rsidR="002524C7" w:rsidRPr="00755D7D" w:rsidRDefault="002E303D">
            <w:pPr>
              <w:pStyle w:val="CAR-TableText-Left"/>
              <w:widowControl w:val="0"/>
            </w:pPr>
            <w:r w:rsidRPr="00755D7D">
              <w:t>Withdrawn by ASIC</w:t>
            </w:r>
          </w:p>
        </w:tc>
        <w:tc>
          <w:tcPr>
            <w:tcW w:w="599" w:type="pct"/>
          </w:tcPr>
          <w:p w14:paraId="7A0972A9" w14:textId="77777777" w:rsidR="002524C7" w:rsidRPr="00755D7D" w:rsidRDefault="0044339B">
            <w:pPr>
              <w:pStyle w:val="CAR-TableText-Right"/>
              <w:widowControl w:val="0"/>
              <w:rPr>
                <w:color w:val="000000"/>
              </w:rPr>
            </w:pPr>
            <w:r w:rsidRPr="00755D7D">
              <w:noBreakHyphen/>
            </w:r>
          </w:p>
        </w:tc>
        <w:tc>
          <w:tcPr>
            <w:tcW w:w="600" w:type="pct"/>
          </w:tcPr>
          <w:p w14:paraId="5780C3AA" w14:textId="77777777" w:rsidR="002524C7" w:rsidRPr="00755D7D" w:rsidRDefault="0044339B">
            <w:pPr>
              <w:pStyle w:val="CAR-TableText-Right"/>
              <w:widowControl w:val="0"/>
              <w:rPr>
                <w:color w:val="000000"/>
              </w:rPr>
            </w:pPr>
            <w:r w:rsidRPr="00755D7D">
              <w:noBreakHyphen/>
            </w:r>
          </w:p>
        </w:tc>
        <w:tc>
          <w:tcPr>
            <w:tcW w:w="600" w:type="pct"/>
          </w:tcPr>
          <w:p w14:paraId="01DF3DC8" w14:textId="77777777" w:rsidR="002524C7" w:rsidRPr="00755D7D" w:rsidRDefault="0044339B">
            <w:pPr>
              <w:pStyle w:val="CAR-TableText-Right"/>
              <w:widowControl w:val="0"/>
              <w:rPr>
                <w:color w:val="000000"/>
              </w:rPr>
            </w:pPr>
            <w:r w:rsidRPr="00755D7D">
              <w:noBreakHyphen/>
            </w:r>
          </w:p>
        </w:tc>
        <w:tc>
          <w:tcPr>
            <w:tcW w:w="600" w:type="pct"/>
          </w:tcPr>
          <w:p w14:paraId="6C51E025" w14:textId="77777777" w:rsidR="002524C7" w:rsidRPr="00755D7D" w:rsidRDefault="0044339B">
            <w:pPr>
              <w:pStyle w:val="CAR-TableText-Right"/>
              <w:widowControl w:val="0"/>
              <w:rPr>
                <w:color w:val="000000"/>
              </w:rPr>
            </w:pPr>
            <w:r w:rsidRPr="00755D7D">
              <w:noBreakHyphen/>
            </w:r>
          </w:p>
        </w:tc>
        <w:tc>
          <w:tcPr>
            <w:tcW w:w="600" w:type="pct"/>
          </w:tcPr>
          <w:p w14:paraId="1C10D804" w14:textId="77777777" w:rsidR="002524C7" w:rsidRPr="00755D7D" w:rsidRDefault="0044339B">
            <w:pPr>
              <w:pStyle w:val="CAR-TableText-Right"/>
              <w:widowControl w:val="0"/>
              <w:rPr>
                <w:color w:val="000000"/>
              </w:rPr>
            </w:pPr>
            <w:r w:rsidRPr="00755D7D">
              <w:noBreakHyphen/>
            </w:r>
          </w:p>
        </w:tc>
        <w:tc>
          <w:tcPr>
            <w:tcW w:w="526" w:type="pct"/>
          </w:tcPr>
          <w:p w14:paraId="4D3BE380" w14:textId="77777777" w:rsidR="002524C7" w:rsidRPr="00755D7D" w:rsidRDefault="0044339B">
            <w:pPr>
              <w:pStyle w:val="CAR-TableText-Right"/>
              <w:widowControl w:val="0"/>
              <w:rPr>
                <w:color w:val="000000"/>
              </w:rPr>
            </w:pPr>
            <w:r w:rsidRPr="00755D7D">
              <w:noBreakHyphen/>
            </w:r>
          </w:p>
        </w:tc>
      </w:tr>
    </w:tbl>
    <w:p w14:paraId="6DF0A521" w14:textId="77777777" w:rsidR="00F343EE" w:rsidRPr="00755D7D" w:rsidRDefault="00DF36FE" w:rsidP="005B223E">
      <w:pPr>
        <w:pStyle w:val="CAR-BodyText-Left"/>
        <w:spacing w:before="240"/>
      </w:pPr>
      <w:r w:rsidRPr="00755D7D">
        <w:t xml:space="preserve">Decisions reviewed in the reporting year are detailed </w:t>
      </w:r>
      <w:r w:rsidR="0091281B" w:rsidRPr="00755D7D">
        <w:t xml:space="preserve">on page 8 </w:t>
      </w:r>
      <w:r w:rsidR="006D796C" w:rsidRPr="00755D7D">
        <w:t>below</w:t>
      </w:r>
      <w:r w:rsidR="00494F86" w:rsidRPr="00755D7D">
        <w:t xml:space="preserve">. </w:t>
      </w:r>
    </w:p>
    <w:p w14:paraId="43FBD6FA" w14:textId="77777777" w:rsidR="002E303D" w:rsidRPr="00755D7D" w:rsidRDefault="006516ED" w:rsidP="00E621BC">
      <w:pPr>
        <w:pStyle w:val="Heading2"/>
      </w:pPr>
      <w:bookmarkStart w:id="12" w:name="_Toc395079010"/>
      <w:r w:rsidRPr="00755D7D">
        <w:t>Publication of CALDB decisions</w:t>
      </w:r>
      <w:bookmarkEnd w:id="12"/>
    </w:p>
    <w:p w14:paraId="2F73158E" w14:textId="77777777" w:rsidR="006D796C" w:rsidRPr="00755D7D" w:rsidRDefault="00DF36FE" w:rsidP="00E621BC">
      <w:pPr>
        <w:pStyle w:val="CAR-BodyText-Left"/>
      </w:pPr>
      <w:r w:rsidRPr="00755D7D">
        <w:t xml:space="preserve">Pursuant to subsection 1296(1) of the </w:t>
      </w:r>
      <w:r w:rsidR="009D7BF7" w:rsidRPr="00755D7D">
        <w:t>Corporations Act</w:t>
      </w:r>
      <w:r w:rsidRPr="00755D7D">
        <w:t>, written notice of a decision by a Panel to exercise CALDB</w:t>
      </w:r>
      <w:r w:rsidR="0044339B" w:rsidRPr="00755D7D">
        <w:t>’</w:t>
      </w:r>
      <w:r w:rsidRPr="00755D7D">
        <w:t>s powers under section 1292 and the reasons for the decision must be provided to the practitioner concerned. Pursuant to subsection 1296(2), written notice of a decision by a Panel to refuse to exercise CALDB</w:t>
      </w:r>
      <w:r w:rsidR="0044339B" w:rsidRPr="00755D7D">
        <w:t>’</w:t>
      </w:r>
      <w:r w:rsidRPr="00755D7D">
        <w:t>s powers under section 1292 or a decision that it is not required to make an order under subsection 1292(7) in relation to a person, must be given to the practitioner concerned. A copy of any such notice must be lodged with ASIC.</w:t>
      </w:r>
      <w:r w:rsidR="00F13BF9" w:rsidRPr="00755D7D">
        <w:t xml:space="preserve"> </w:t>
      </w:r>
      <w:r w:rsidRPr="00755D7D">
        <w:t>The notice of decision is available for inspection at ASIC except when the Panel has decided to refuse to exercise CALDB</w:t>
      </w:r>
      <w:r w:rsidR="0044339B" w:rsidRPr="00755D7D">
        <w:t>’</w:t>
      </w:r>
      <w:r w:rsidRPr="00755D7D">
        <w:t>s powers under section 1292 or has decided that it is not required to make an order under subse</w:t>
      </w:r>
      <w:r w:rsidR="00E621BC" w:rsidRPr="00755D7D">
        <w:t>ction 1292(7) (see subparagraph </w:t>
      </w:r>
      <w:r w:rsidRPr="00755D7D">
        <w:t>1274(2)(a)(iii)).</w:t>
      </w:r>
    </w:p>
    <w:p w14:paraId="6D0EAF2A" w14:textId="77777777" w:rsidR="006D796C" w:rsidRPr="00755D7D" w:rsidRDefault="00DF36FE" w:rsidP="00E621BC">
      <w:pPr>
        <w:pStyle w:val="CAR-BodyText-Left"/>
      </w:pPr>
      <w:r w:rsidRPr="00755D7D">
        <w:t>Where the Panel has decided to exercise any of the CALDB</w:t>
      </w:r>
      <w:r w:rsidR="0044339B" w:rsidRPr="00755D7D">
        <w:t>’</w:t>
      </w:r>
      <w:r w:rsidRPr="00755D7D">
        <w:t xml:space="preserve">s powers under section 1292 or has decided that it is required to make an order under subsection 1292(7), CALDB is required pursuant to subsection 1296(1) to publish in the Commonwealth Gazette a notice setting out the decision. </w:t>
      </w:r>
    </w:p>
    <w:p w14:paraId="6762E281" w14:textId="77777777" w:rsidR="00AD1726" w:rsidRPr="00755D7D" w:rsidRDefault="00DF36FE" w:rsidP="00E621BC">
      <w:pPr>
        <w:pStyle w:val="CAR-BodyText-Left"/>
      </w:pPr>
      <w:r w:rsidRPr="00755D7D">
        <w:t>By arrangement with the Institute of Chartered Accountants in Australia, CPA Australia, Institute of Public Accountants (formerly National Institute of Accountants), Australian Restructuring Insolvency and Turnaround Association (formerly Insolvency Practitioners Association of Australia) and the Tax Agents Registration Board, copies of notices published in the Commonwealth Gazette are provided to those bodies of which the practitioner is a member.</w:t>
      </w:r>
      <w:r w:rsidR="006D796C" w:rsidRPr="00755D7D" w:rsidDel="006D796C">
        <w:t xml:space="preserve"> </w:t>
      </w:r>
      <w:r w:rsidRPr="00755D7D">
        <w:t>In addition, if the Panel decides to exercise any of CALDB</w:t>
      </w:r>
      <w:r w:rsidR="0044339B" w:rsidRPr="00755D7D">
        <w:t>’</w:t>
      </w:r>
      <w:r w:rsidRPr="00755D7D">
        <w:t xml:space="preserve">s powers under section 1292, it may take such steps as it considers reasonable and appropriate to publicise that decision and the reasons for that decision. This will include the power to post the decision and the reasons on the </w:t>
      </w:r>
      <w:r w:rsidRPr="00755D7D">
        <w:lastRenderedPageBreak/>
        <w:t>CALDB website. CALDB generally takes the view that it is appropriate to publish its decisions on the CALDB website as this provides transparency of its decisions and processes as well as contributing to the public educative role played by CALDB.</w:t>
      </w:r>
      <w:r w:rsidR="006D796C" w:rsidRPr="00755D7D" w:rsidDel="006D796C">
        <w:t xml:space="preserve"> </w:t>
      </w:r>
      <w:r w:rsidRPr="00755D7D">
        <w:t>In the reporting year there were five decisions gazetted and publicised pursuant to CALDB</w:t>
      </w:r>
      <w:r w:rsidR="0044339B" w:rsidRPr="00755D7D">
        <w:t>’</w:t>
      </w:r>
      <w:r w:rsidR="007132B3">
        <w:t xml:space="preserve">s powers under section </w:t>
      </w:r>
      <w:r w:rsidRPr="00755D7D">
        <w:t>1292. Details of the CALDB decisions gazetted during the reporting year are included in Appendix 3</w:t>
      </w:r>
      <w:r w:rsidR="00494F86" w:rsidRPr="00755D7D">
        <w:t xml:space="preserve">. </w:t>
      </w:r>
      <w:r w:rsidR="00C7672F" w:rsidRPr="00755D7D">
        <w:t xml:space="preserve">One additional decision made during the reporting year was gazetted and publicised after the end of the reporting year. </w:t>
      </w:r>
      <w:r w:rsidRPr="00755D7D">
        <w:t xml:space="preserve">Copies of the decisions and reasons </w:t>
      </w:r>
      <w:r w:rsidR="00C7672F" w:rsidRPr="00755D7D">
        <w:t xml:space="preserve">issued </w:t>
      </w:r>
      <w:r w:rsidRPr="00755D7D">
        <w:t xml:space="preserve">during the </w:t>
      </w:r>
      <w:r w:rsidR="00C7672F" w:rsidRPr="00755D7D">
        <w:t xml:space="preserve">reporting </w:t>
      </w:r>
      <w:r w:rsidRPr="00755D7D">
        <w:t>year are set out on the Board</w:t>
      </w:r>
      <w:r w:rsidR="0044339B" w:rsidRPr="00755D7D">
        <w:t>’</w:t>
      </w:r>
      <w:r w:rsidRPr="00755D7D">
        <w:t>s website:</w:t>
      </w:r>
      <w:r w:rsidR="00C7672F" w:rsidRPr="00755D7D">
        <w:t xml:space="preserve"> </w:t>
      </w:r>
      <w:hyperlink r:id="rId28" w:history="1">
        <w:r w:rsidR="00C7672F" w:rsidRPr="00755D7D">
          <w:rPr>
            <w:rStyle w:val="Hyperlink"/>
          </w:rPr>
          <w:t>www.caldb.gov.au</w:t>
        </w:r>
      </w:hyperlink>
      <w:r w:rsidR="00C7672F" w:rsidRPr="00755D7D">
        <w:t>.</w:t>
      </w:r>
    </w:p>
    <w:p w14:paraId="57985FA1" w14:textId="77777777" w:rsidR="00AD1726" w:rsidRPr="00755D7D" w:rsidRDefault="006516ED" w:rsidP="00487C7E">
      <w:pPr>
        <w:pStyle w:val="Heading2"/>
        <w:rPr>
          <w:rFonts w:ascii="Book Antiqua" w:hAnsi="Book Antiqua"/>
          <w:sz w:val="20"/>
          <w:szCs w:val="20"/>
        </w:rPr>
      </w:pPr>
      <w:bookmarkStart w:id="13" w:name="_Toc395079011"/>
      <w:r w:rsidRPr="00755D7D">
        <w:t>Costs orders by CALDB</w:t>
      </w:r>
      <w:bookmarkEnd w:id="13"/>
    </w:p>
    <w:p w14:paraId="0B998B7E" w14:textId="77777777" w:rsidR="002E303D" w:rsidRPr="00755D7D" w:rsidRDefault="00DF36FE" w:rsidP="00E621BC">
      <w:pPr>
        <w:pStyle w:val="CAR-BodyText-Left"/>
      </w:pPr>
      <w:r w:rsidRPr="00755D7D">
        <w:t>At the end of a hearing a Panel may make an order for costs, and when the Panel makes such an order, CALDB refers the parties to its Costs Practice Note</w:t>
      </w:r>
      <w:r w:rsidR="00494F86" w:rsidRPr="00755D7D">
        <w:t xml:space="preserve">. </w:t>
      </w:r>
      <w:r w:rsidRPr="00755D7D">
        <w:t>A Panel may also order payment by a party of all or part of the CALDB</w:t>
      </w:r>
      <w:r w:rsidR="0044339B" w:rsidRPr="00755D7D">
        <w:t>’</w:t>
      </w:r>
      <w:r w:rsidRPr="00755D7D">
        <w:t>s costs of, and incidental to, a hearing. There is no power conferred on CALDB to publish costs orders made</w:t>
      </w:r>
      <w:r w:rsidR="00494F86" w:rsidRPr="00755D7D">
        <w:t xml:space="preserve">. </w:t>
      </w:r>
    </w:p>
    <w:p w14:paraId="1C8918BF" w14:textId="77777777" w:rsidR="002E303D" w:rsidRPr="00755D7D" w:rsidRDefault="006516ED" w:rsidP="00487C7E">
      <w:pPr>
        <w:pStyle w:val="Heading2"/>
      </w:pPr>
      <w:bookmarkStart w:id="14" w:name="_Toc395079012"/>
      <w:r w:rsidRPr="00755D7D">
        <w:t>Review of CALDB decisions</w:t>
      </w:r>
      <w:bookmarkEnd w:id="14"/>
    </w:p>
    <w:p w14:paraId="52872529" w14:textId="77777777" w:rsidR="002E303D" w:rsidRPr="00755D7D" w:rsidRDefault="00DF36FE" w:rsidP="00E621BC">
      <w:pPr>
        <w:pStyle w:val="CAR-BodyText-Left"/>
      </w:pPr>
      <w:r w:rsidRPr="00755D7D">
        <w:t xml:space="preserve">A review of any decision made under section 1292 of the </w:t>
      </w:r>
      <w:r w:rsidR="009D7BF7" w:rsidRPr="00755D7D">
        <w:t xml:space="preserve">Corporations Act </w:t>
      </w:r>
      <w:r w:rsidRPr="00755D7D">
        <w:t>may be sought before the AAT by ASIC or by APRA or by any person whose interests are affected by the decision.</w:t>
      </w:r>
    </w:p>
    <w:p w14:paraId="25A98491" w14:textId="77777777" w:rsidR="002E303D" w:rsidRPr="00755D7D" w:rsidRDefault="00DF36FE" w:rsidP="00E621BC">
      <w:pPr>
        <w:pStyle w:val="CAR-BodyText-Left"/>
      </w:pPr>
      <w:r w:rsidRPr="00755D7D">
        <w:t xml:space="preserve">A person who is aggrieved by a decision of CALDB may also apply to the Federal Court of Australia under the provisions of the </w:t>
      </w:r>
      <w:r w:rsidRPr="00755D7D">
        <w:rPr>
          <w:i/>
        </w:rPr>
        <w:t>Administrative Decisions (Judicial Review) Act 1977</w:t>
      </w:r>
      <w:r w:rsidRPr="00755D7D">
        <w:t xml:space="preserve"> for an order of review in respect of a decision.</w:t>
      </w:r>
    </w:p>
    <w:p w14:paraId="734F6D03" w14:textId="77777777" w:rsidR="002E303D" w:rsidRPr="00755D7D" w:rsidRDefault="00DF36FE" w:rsidP="00E621BC">
      <w:pPr>
        <w:pStyle w:val="CAR-BodyText-Left"/>
      </w:pPr>
      <w:r w:rsidRPr="00755D7D">
        <w:t>Generally, reviews before the AAT are re</w:t>
      </w:r>
      <w:r w:rsidR="0044339B" w:rsidRPr="00755D7D">
        <w:noBreakHyphen/>
      </w:r>
      <w:r w:rsidRPr="00755D7D">
        <w:t>hearings of the application while those by the Federal Court of Australia are concerned with a review of questions of law arising out of the proceedings before CALDB.</w:t>
      </w:r>
    </w:p>
    <w:p w14:paraId="49161116" w14:textId="77777777" w:rsidR="002E303D" w:rsidRPr="00755D7D" w:rsidRDefault="00DF36FE" w:rsidP="00E621BC">
      <w:pPr>
        <w:pStyle w:val="CAR-BodyText-Left"/>
      </w:pPr>
      <w:r w:rsidRPr="00755D7D">
        <w:t xml:space="preserve">When a CALDB decision is under review the Board will often be restricted from publishing any notice of decision. Such restriction may be sought by either of the parties and is often sought to avoid prejudice to a Respondent who may later be successful in having a decision of the Board reversed or altered. </w:t>
      </w:r>
    </w:p>
    <w:p w14:paraId="6E9A62B7" w14:textId="77777777" w:rsidR="004A326F" w:rsidRPr="00755D7D" w:rsidRDefault="00DF36FE" w:rsidP="00E621BC">
      <w:pPr>
        <w:pStyle w:val="CAR-BodyText-Left"/>
      </w:pPr>
      <w:r w:rsidRPr="00755D7D">
        <w:t>During the year</w:t>
      </w:r>
      <w:r w:rsidR="00753B09" w:rsidRPr="00755D7D">
        <w:t>,</w:t>
      </w:r>
      <w:r w:rsidRPr="00755D7D">
        <w:t xml:space="preserve"> </w:t>
      </w:r>
      <w:r w:rsidR="00381FB0" w:rsidRPr="00755D7D">
        <w:t xml:space="preserve">two </w:t>
      </w:r>
      <w:r w:rsidRPr="00755D7D">
        <w:t>application</w:t>
      </w:r>
      <w:r w:rsidR="00753B09" w:rsidRPr="00755D7D">
        <w:t>s</w:t>
      </w:r>
      <w:r w:rsidRPr="00755D7D">
        <w:t xml:space="preserve"> w</w:t>
      </w:r>
      <w:r w:rsidR="00753B09" w:rsidRPr="00755D7D">
        <w:t>ere</w:t>
      </w:r>
      <w:r w:rsidRPr="00755D7D">
        <w:t xml:space="preserve"> made by respondent</w:t>
      </w:r>
      <w:r w:rsidR="00753B09" w:rsidRPr="00755D7D">
        <w:t>s</w:t>
      </w:r>
      <w:r w:rsidRPr="00755D7D">
        <w:t xml:space="preserve"> for decision</w:t>
      </w:r>
      <w:r w:rsidR="00753B09" w:rsidRPr="00755D7D">
        <w:t>s</w:t>
      </w:r>
      <w:r w:rsidRPr="00755D7D">
        <w:t xml:space="preserve"> made by CALDB to be reviewed by the AAT.</w:t>
      </w:r>
      <w:r w:rsidR="004A326F" w:rsidRPr="00755D7D">
        <w:t xml:space="preserve"> </w:t>
      </w:r>
    </w:p>
    <w:p w14:paraId="33C9EBA2" w14:textId="77777777" w:rsidR="004A326F" w:rsidRPr="00755D7D" w:rsidRDefault="004A326F" w:rsidP="00E621BC">
      <w:pPr>
        <w:pStyle w:val="CAR-BodyText-Left"/>
      </w:pPr>
      <w:r w:rsidRPr="00755D7D">
        <w:t xml:space="preserve">The first </w:t>
      </w:r>
      <w:r w:rsidR="00DF36FE" w:rsidRPr="00755D7D">
        <w:t>application was withdrawn by the respondent prior to any decision being made by the AAT</w:t>
      </w:r>
      <w:r w:rsidR="00494F86" w:rsidRPr="00755D7D">
        <w:t xml:space="preserve">. </w:t>
      </w:r>
    </w:p>
    <w:p w14:paraId="646187EE" w14:textId="77777777" w:rsidR="004A326F" w:rsidRPr="00755D7D" w:rsidRDefault="00DF36FE" w:rsidP="00E621BC">
      <w:pPr>
        <w:pStyle w:val="CAR-BodyText-Left"/>
      </w:pPr>
      <w:r w:rsidRPr="00755D7D">
        <w:t>The outcome of</w:t>
      </w:r>
      <w:r w:rsidR="00753B09" w:rsidRPr="00755D7D">
        <w:t xml:space="preserve"> the second application</w:t>
      </w:r>
      <w:r w:rsidRPr="00755D7D">
        <w:t xml:space="preserve"> is not yet known. </w:t>
      </w:r>
    </w:p>
    <w:p w14:paraId="0CA8ACC0" w14:textId="77777777" w:rsidR="00001123" w:rsidRPr="00755D7D" w:rsidRDefault="00753B09" w:rsidP="00E621BC">
      <w:pPr>
        <w:pStyle w:val="CAR-BodyText-Left"/>
      </w:pPr>
      <w:r w:rsidRPr="00755D7D">
        <w:t>Apart from these two matters, n</w:t>
      </w:r>
      <w:r w:rsidR="00DF36FE" w:rsidRPr="00755D7D">
        <w:t>o other applications for review of a CALDB decision</w:t>
      </w:r>
      <w:r w:rsidR="00B8136C" w:rsidRPr="00755D7D">
        <w:t xml:space="preserve"> under s</w:t>
      </w:r>
      <w:r w:rsidR="00755D7D" w:rsidRPr="00755D7D">
        <w:t> </w:t>
      </w:r>
      <w:r w:rsidR="00B8136C" w:rsidRPr="00755D7D">
        <w:t>1292</w:t>
      </w:r>
      <w:r w:rsidR="00DF36FE" w:rsidRPr="00755D7D">
        <w:t xml:space="preserve"> were made during the reporting year</w:t>
      </w:r>
      <w:r w:rsidR="00494F86" w:rsidRPr="00755D7D">
        <w:t xml:space="preserve">. </w:t>
      </w:r>
    </w:p>
    <w:p w14:paraId="3DF7FBD2" w14:textId="77777777" w:rsidR="002E303D" w:rsidRPr="00755D7D" w:rsidRDefault="006516ED" w:rsidP="00487C7E">
      <w:pPr>
        <w:pStyle w:val="Heading2"/>
      </w:pPr>
      <w:bookmarkStart w:id="15" w:name="_Toc395079013"/>
      <w:r w:rsidRPr="00755D7D">
        <w:lastRenderedPageBreak/>
        <w:t xml:space="preserve">CALDB </w:t>
      </w:r>
      <w:r w:rsidR="00172C18" w:rsidRPr="00755D7D">
        <w:t>f</w:t>
      </w:r>
      <w:r w:rsidRPr="00755D7D">
        <w:t>inancial information for reporting year</w:t>
      </w:r>
      <w:bookmarkEnd w:id="15"/>
    </w:p>
    <w:p w14:paraId="6D84785C" w14:textId="77777777" w:rsidR="002E303D" w:rsidRPr="00755D7D" w:rsidRDefault="002E303D" w:rsidP="00E621BC">
      <w:pPr>
        <w:pStyle w:val="CAR-BodyText-Left"/>
      </w:pPr>
      <w:r w:rsidRPr="00755D7D">
        <w:t>CALDB is allocated funding by the Federal Government through ASIC</w:t>
      </w:r>
      <w:r w:rsidR="0044339B" w:rsidRPr="00755D7D">
        <w:t>’</w:t>
      </w:r>
      <w:r w:rsidRPr="00755D7D">
        <w:t>s budget. CALDB</w:t>
      </w:r>
      <w:r w:rsidR="0044339B" w:rsidRPr="00755D7D">
        <w:t>’</w:t>
      </w:r>
      <w:r w:rsidRPr="00755D7D">
        <w:t>s expenses are, apart from some fixed overhead expenses, largely a function of the workload, being applications received, and so vary from year to year depending on the number and complexity of the applications made.</w:t>
      </w:r>
    </w:p>
    <w:p w14:paraId="0E0A4FCB" w14:textId="77777777" w:rsidR="002E303D" w:rsidRPr="00755D7D" w:rsidRDefault="002E303D" w:rsidP="00E621BC">
      <w:pPr>
        <w:pStyle w:val="CAR-BodyText-Left"/>
      </w:pPr>
      <w:r w:rsidRPr="00755D7D">
        <w:t>CALDB</w:t>
      </w:r>
      <w:r w:rsidR="0044339B" w:rsidRPr="00755D7D">
        <w:t>’</w:t>
      </w:r>
      <w:r w:rsidRPr="00755D7D">
        <w:t>s expenditure for this and the previous financial year, (extracted from the accounts of ASIC), was as follows:</w:t>
      </w:r>
    </w:p>
    <w:tbl>
      <w:tblPr>
        <w:tblW w:w="4883" w:type="pct"/>
        <w:tblInd w:w="108" w:type="dxa"/>
        <w:tblBorders>
          <w:top w:val="single" w:sz="2" w:space="0" w:color="000080"/>
          <w:bottom w:val="single" w:sz="2" w:space="0" w:color="000080"/>
        </w:tblBorders>
        <w:tblLook w:val="01E0" w:firstRow="1" w:lastRow="1" w:firstColumn="1" w:lastColumn="1" w:noHBand="0" w:noVBand="0"/>
      </w:tblPr>
      <w:tblGrid>
        <w:gridCol w:w="3857"/>
        <w:gridCol w:w="1974"/>
        <w:gridCol w:w="1911"/>
      </w:tblGrid>
      <w:tr w:rsidR="002E303D" w:rsidRPr="00755D7D" w14:paraId="21D978C8" w14:textId="77777777" w:rsidTr="007132B3">
        <w:trPr>
          <w:tblHeader/>
        </w:trPr>
        <w:tc>
          <w:tcPr>
            <w:tcW w:w="2491" w:type="pct"/>
            <w:tcBorders>
              <w:top w:val="single" w:sz="2" w:space="0" w:color="000080"/>
              <w:bottom w:val="nil"/>
            </w:tcBorders>
            <w:shd w:val="clear" w:color="auto" w:fill="D5D5FF"/>
          </w:tcPr>
          <w:p w14:paraId="3CA3E7A7" w14:textId="77777777" w:rsidR="002E303D" w:rsidRPr="00755D7D" w:rsidRDefault="002E303D">
            <w:pPr>
              <w:pStyle w:val="TableColumnHeadingRight"/>
            </w:pPr>
          </w:p>
        </w:tc>
        <w:tc>
          <w:tcPr>
            <w:tcW w:w="1275" w:type="pct"/>
            <w:tcBorders>
              <w:top w:val="single" w:sz="2" w:space="0" w:color="000080"/>
              <w:bottom w:val="nil"/>
            </w:tcBorders>
            <w:shd w:val="clear" w:color="auto" w:fill="D5D5FF"/>
            <w:vAlign w:val="center"/>
          </w:tcPr>
          <w:p w14:paraId="76FAC163" w14:textId="77777777" w:rsidR="002E303D" w:rsidRPr="00755D7D" w:rsidRDefault="002E303D" w:rsidP="007132B3">
            <w:pPr>
              <w:pStyle w:val="CAR-TableColHead-Right"/>
            </w:pPr>
            <w:r w:rsidRPr="00755D7D">
              <w:t>2013</w:t>
            </w:r>
            <w:r w:rsidR="007132B3">
              <w:t>–</w:t>
            </w:r>
            <w:r w:rsidRPr="00755D7D">
              <w:t>14</w:t>
            </w:r>
          </w:p>
        </w:tc>
        <w:tc>
          <w:tcPr>
            <w:tcW w:w="1234" w:type="pct"/>
            <w:tcBorders>
              <w:top w:val="single" w:sz="2" w:space="0" w:color="000080"/>
              <w:bottom w:val="nil"/>
            </w:tcBorders>
            <w:shd w:val="clear" w:color="auto" w:fill="D5D5FF"/>
            <w:vAlign w:val="center"/>
          </w:tcPr>
          <w:p w14:paraId="0CD9FD5C" w14:textId="77777777" w:rsidR="002E303D" w:rsidRPr="00755D7D" w:rsidRDefault="002E303D" w:rsidP="00755D7D">
            <w:pPr>
              <w:pStyle w:val="CAR-TableColHead-Right"/>
            </w:pPr>
            <w:r w:rsidRPr="00755D7D">
              <w:t>2012</w:t>
            </w:r>
            <w:r w:rsidR="007132B3">
              <w:t>–</w:t>
            </w:r>
            <w:r w:rsidRPr="00755D7D">
              <w:t>13</w:t>
            </w:r>
          </w:p>
        </w:tc>
      </w:tr>
      <w:tr w:rsidR="002E303D" w:rsidRPr="00755D7D" w14:paraId="00E40A76" w14:textId="77777777" w:rsidTr="007132B3">
        <w:trPr>
          <w:tblHeader/>
        </w:trPr>
        <w:tc>
          <w:tcPr>
            <w:tcW w:w="2491" w:type="pct"/>
            <w:tcBorders>
              <w:top w:val="nil"/>
              <w:bottom w:val="single" w:sz="2" w:space="0" w:color="000080"/>
            </w:tcBorders>
            <w:shd w:val="clear" w:color="auto" w:fill="D5D5FF"/>
          </w:tcPr>
          <w:p w14:paraId="2EFB59A3" w14:textId="77777777" w:rsidR="002E303D" w:rsidRPr="00755D7D" w:rsidRDefault="002E303D">
            <w:pPr>
              <w:pStyle w:val="TableColumnHeadingRight"/>
            </w:pPr>
          </w:p>
        </w:tc>
        <w:tc>
          <w:tcPr>
            <w:tcW w:w="1275" w:type="pct"/>
            <w:tcBorders>
              <w:top w:val="nil"/>
              <w:bottom w:val="single" w:sz="2" w:space="0" w:color="000080"/>
            </w:tcBorders>
            <w:shd w:val="clear" w:color="auto" w:fill="D5D5FF"/>
            <w:vAlign w:val="center"/>
          </w:tcPr>
          <w:p w14:paraId="7BAA98E7" w14:textId="77777777" w:rsidR="002E303D" w:rsidRPr="00755D7D" w:rsidRDefault="002E303D" w:rsidP="00755D7D">
            <w:pPr>
              <w:pStyle w:val="CAR-TableColHead-Right"/>
            </w:pPr>
            <w:r w:rsidRPr="00755D7D">
              <w:t>$</w:t>
            </w:r>
          </w:p>
        </w:tc>
        <w:tc>
          <w:tcPr>
            <w:tcW w:w="1234" w:type="pct"/>
            <w:tcBorders>
              <w:top w:val="nil"/>
              <w:bottom w:val="single" w:sz="2" w:space="0" w:color="000080"/>
            </w:tcBorders>
            <w:shd w:val="clear" w:color="auto" w:fill="D5D5FF"/>
            <w:vAlign w:val="center"/>
          </w:tcPr>
          <w:p w14:paraId="5AB8DC30" w14:textId="77777777" w:rsidR="002E303D" w:rsidRPr="00755D7D" w:rsidRDefault="002E303D" w:rsidP="00755D7D">
            <w:pPr>
              <w:pStyle w:val="CAR-TableColHead-Right"/>
            </w:pPr>
            <w:r w:rsidRPr="00755D7D">
              <w:t>$</w:t>
            </w:r>
          </w:p>
        </w:tc>
      </w:tr>
      <w:tr w:rsidR="002E303D" w:rsidRPr="00755D7D" w14:paraId="69DDEB69" w14:textId="77777777" w:rsidTr="00755D7D">
        <w:tc>
          <w:tcPr>
            <w:tcW w:w="2491" w:type="pct"/>
            <w:tcBorders>
              <w:top w:val="single" w:sz="2" w:space="0" w:color="000080"/>
            </w:tcBorders>
          </w:tcPr>
          <w:p w14:paraId="47720F5B" w14:textId="77777777" w:rsidR="002E303D" w:rsidRPr="00755D7D" w:rsidRDefault="002E303D">
            <w:pPr>
              <w:pStyle w:val="CAR-TableText-Left"/>
            </w:pPr>
            <w:r w:rsidRPr="00755D7D">
              <w:t>Administrative expenses (including staff costs and external legal costs</w:t>
            </w:r>
            <w:r w:rsidR="00FD3D0C" w:rsidRPr="00755D7D">
              <w:t>)</w:t>
            </w:r>
          </w:p>
        </w:tc>
        <w:tc>
          <w:tcPr>
            <w:tcW w:w="1275" w:type="pct"/>
            <w:tcBorders>
              <w:top w:val="single" w:sz="2" w:space="0" w:color="000080"/>
            </w:tcBorders>
          </w:tcPr>
          <w:p w14:paraId="7DC402A1" w14:textId="77777777" w:rsidR="005B6C28" w:rsidRPr="00755D7D" w:rsidRDefault="00924566" w:rsidP="005B6C28">
            <w:pPr>
              <w:pStyle w:val="CAR-TableText-Right"/>
              <w:rPr>
                <w:iCs/>
                <w:color w:val="000000"/>
              </w:rPr>
            </w:pPr>
            <w:r w:rsidRPr="00755D7D">
              <w:rPr>
                <w:iCs/>
              </w:rPr>
              <w:t>508,947</w:t>
            </w:r>
          </w:p>
        </w:tc>
        <w:tc>
          <w:tcPr>
            <w:tcW w:w="1234" w:type="pct"/>
            <w:tcBorders>
              <w:top w:val="single" w:sz="2" w:space="0" w:color="000080"/>
            </w:tcBorders>
          </w:tcPr>
          <w:p w14:paraId="63A5C75B" w14:textId="77777777" w:rsidR="00EE58A8" w:rsidRPr="00755D7D" w:rsidRDefault="00387847">
            <w:pPr>
              <w:pStyle w:val="CAR-TableText-Right"/>
              <w:rPr>
                <w:iCs/>
              </w:rPr>
            </w:pPr>
            <w:r w:rsidRPr="00755D7D">
              <w:rPr>
                <w:iCs/>
              </w:rPr>
              <w:t>433</w:t>
            </w:r>
            <w:r w:rsidR="009D7BF7" w:rsidRPr="00755D7D">
              <w:rPr>
                <w:iCs/>
              </w:rPr>
              <w:t>,</w:t>
            </w:r>
            <w:r w:rsidRPr="00755D7D">
              <w:rPr>
                <w:iCs/>
              </w:rPr>
              <w:t>156</w:t>
            </w:r>
          </w:p>
        </w:tc>
      </w:tr>
      <w:tr w:rsidR="002E303D" w:rsidRPr="00755D7D" w14:paraId="0F60DBE1" w14:textId="77777777" w:rsidTr="00755D7D">
        <w:tc>
          <w:tcPr>
            <w:tcW w:w="2491" w:type="pct"/>
          </w:tcPr>
          <w:p w14:paraId="019D16EE" w14:textId="77777777" w:rsidR="002E303D" w:rsidRPr="00755D7D" w:rsidRDefault="002E303D">
            <w:pPr>
              <w:pStyle w:val="CAR-TableText-Left"/>
            </w:pPr>
            <w:r w:rsidRPr="00755D7D">
              <w:t>Travel and accommodation including allowances</w:t>
            </w:r>
          </w:p>
        </w:tc>
        <w:tc>
          <w:tcPr>
            <w:tcW w:w="1275" w:type="pct"/>
          </w:tcPr>
          <w:p w14:paraId="02855EA3" w14:textId="77777777" w:rsidR="005B6C28" w:rsidRPr="00755D7D" w:rsidRDefault="00DB35B2" w:rsidP="005B6C28">
            <w:pPr>
              <w:pStyle w:val="CAR-TableText-Right"/>
              <w:rPr>
                <w:iCs/>
                <w:color w:val="000000"/>
              </w:rPr>
            </w:pPr>
            <w:r w:rsidRPr="00755D7D">
              <w:rPr>
                <w:iCs/>
              </w:rPr>
              <w:t>38,632</w:t>
            </w:r>
          </w:p>
        </w:tc>
        <w:tc>
          <w:tcPr>
            <w:tcW w:w="1234" w:type="pct"/>
          </w:tcPr>
          <w:p w14:paraId="518C5334" w14:textId="77777777" w:rsidR="002E303D" w:rsidRPr="00755D7D" w:rsidRDefault="009D7BF7" w:rsidP="00AD22C2">
            <w:pPr>
              <w:pStyle w:val="CAR-TableText-Right"/>
              <w:rPr>
                <w:iCs/>
              </w:rPr>
            </w:pPr>
            <w:r w:rsidRPr="00755D7D">
              <w:rPr>
                <w:iCs/>
              </w:rPr>
              <w:t>34,111</w:t>
            </w:r>
          </w:p>
        </w:tc>
      </w:tr>
      <w:tr w:rsidR="002E303D" w:rsidRPr="00755D7D" w14:paraId="5EBA253C" w14:textId="77777777" w:rsidTr="00755D7D">
        <w:tc>
          <w:tcPr>
            <w:tcW w:w="2491" w:type="pct"/>
          </w:tcPr>
          <w:p w14:paraId="11DFF3C6" w14:textId="77777777" w:rsidR="002E303D" w:rsidRPr="00755D7D" w:rsidRDefault="002E303D">
            <w:pPr>
              <w:pStyle w:val="CAR-TableText-Left"/>
            </w:pPr>
            <w:r w:rsidRPr="00755D7D">
              <w:t>Members</w:t>
            </w:r>
            <w:r w:rsidR="0044339B" w:rsidRPr="00755D7D">
              <w:t>’</w:t>
            </w:r>
            <w:r w:rsidRPr="00755D7D">
              <w:t xml:space="preserve"> fees</w:t>
            </w:r>
          </w:p>
        </w:tc>
        <w:tc>
          <w:tcPr>
            <w:tcW w:w="1275" w:type="pct"/>
          </w:tcPr>
          <w:p w14:paraId="5797ACC6" w14:textId="77777777" w:rsidR="005B6C28" w:rsidRPr="00755D7D" w:rsidRDefault="00924566" w:rsidP="005B6C28">
            <w:pPr>
              <w:pStyle w:val="CAR-TableText-Right"/>
              <w:rPr>
                <w:iCs/>
                <w:color w:val="000000"/>
              </w:rPr>
            </w:pPr>
            <w:r w:rsidRPr="00755D7D">
              <w:rPr>
                <w:iCs/>
              </w:rPr>
              <w:t>456,838</w:t>
            </w:r>
          </w:p>
        </w:tc>
        <w:tc>
          <w:tcPr>
            <w:tcW w:w="1234" w:type="pct"/>
          </w:tcPr>
          <w:p w14:paraId="70CC0A75" w14:textId="77777777" w:rsidR="002E303D" w:rsidRPr="00755D7D" w:rsidRDefault="00387847" w:rsidP="00AD22C2">
            <w:pPr>
              <w:pStyle w:val="CAR-TableText-Right"/>
              <w:rPr>
                <w:iCs/>
              </w:rPr>
            </w:pPr>
            <w:r w:rsidRPr="00755D7D">
              <w:rPr>
                <w:iCs/>
              </w:rPr>
              <w:t>175,014</w:t>
            </w:r>
          </w:p>
        </w:tc>
      </w:tr>
      <w:tr w:rsidR="002E303D" w:rsidRPr="00755D7D" w14:paraId="22C29588" w14:textId="77777777" w:rsidTr="00755D7D">
        <w:tc>
          <w:tcPr>
            <w:tcW w:w="2491" w:type="pct"/>
          </w:tcPr>
          <w:p w14:paraId="26335CDE" w14:textId="77777777" w:rsidR="002E303D" w:rsidRPr="00755D7D" w:rsidRDefault="002E303D">
            <w:pPr>
              <w:pStyle w:val="CAR-TableColHead-Left"/>
            </w:pPr>
            <w:r w:rsidRPr="00755D7D">
              <w:t>Total:</w:t>
            </w:r>
          </w:p>
        </w:tc>
        <w:tc>
          <w:tcPr>
            <w:tcW w:w="1275" w:type="pct"/>
          </w:tcPr>
          <w:p w14:paraId="1B7E83F9" w14:textId="77777777" w:rsidR="005B6C28" w:rsidRPr="00755D7D" w:rsidRDefault="00DB35B2" w:rsidP="005B6C28">
            <w:pPr>
              <w:pStyle w:val="CAR-TableText-Right"/>
              <w:rPr>
                <w:iCs/>
                <w:color w:val="000000"/>
              </w:rPr>
            </w:pPr>
            <w:r w:rsidRPr="00755D7D">
              <w:rPr>
                <w:iCs/>
              </w:rPr>
              <w:t>1,004,417</w:t>
            </w:r>
          </w:p>
        </w:tc>
        <w:tc>
          <w:tcPr>
            <w:tcW w:w="1234" w:type="pct"/>
          </w:tcPr>
          <w:p w14:paraId="5F999A55" w14:textId="77777777" w:rsidR="002E303D" w:rsidRPr="00755D7D" w:rsidRDefault="009D7BF7" w:rsidP="00AD22C2">
            <w:pPr>
              <w:pStyle w:val="CAR-TableText-Right"/>
              <w:rPr>
                <w:iCs/>
              </w:rPr>
            </w:pPr>
            <w:r w:rsidRPr="00755D7D">
              <w:rPr>
                <w:iCs/>
              </w:rPr>
              <w:t>642,281</w:t>
            </w:r>
          </w:p>
        </w:tc>
      </w:tr>
    </w:tbl>
    <w:p w14:paraId="1DEF5667" w14:textId="77777777" w:rsidR="002E303D" w:rsidRPr="00755D7D" w:rsidRDefault="002E303D" w:rsidP="00487C7E">
      <w:pPr>
        <w:pStyle w:val="CAR-BodyText-Left"/>
        <w:spacing w:before="240"/>
      </w:pPr>
      <w:r w:rsidRPr="00755D7D">
        <w:t>CALDB operated within the budget allo</w:t>
      </w:r>
      <w:r w:rsidR="00755D7D" w:rsidRPr="00755D7D">
        <w:t>cated to it by ASIC in the 2013–</w:t>
      </w:r>
      <w:r w:rsidRPr="00755D7D">
        <w:t>14 year</w:t>
      </w:r>
      <w:r w:rsidR="00494F86" w:rsidRPr="00755D7D">
        <w:t xml:space="preserve">. </w:t>
      </w:r>
      <w:r w:rsidRPr="00755D7D">
        <w:t>The location of</w:t>
      </w:r>
      <w:r w:rsidR="009531AA" w:rsidRPr="00755D7D">
        <w:t>,</w:t>
      </w:r>
      <w:r w:rsidRPr="00755D7D">
        <w:t xml:space="preserve"> and increase in number of hearings did result in a year on year increase in expenses in relation to travel and accommodation during the current year. Members</w:t>
      </w:r>
      <w:r w:rsidR="0044339B" w:rsidRPr="00755D7D">
        <w:t>’</w:t>
      </w:r>
      <w:r w:rsidRPr="00755D7D">
        <w:t xml:space="preserve"> fees also increased as a result of </w:t>
      </w:r>
      <w:r w:rsidR="009531AA" w:rsidRPr="00755D7D">
        <w:t xml:space="preserve">the increased number of </w:t>
      </w:r>
      <w:r w:rsidRPr="00755D7D">
        <w:t>hearing days for matters being dealt with by CALDB during the reporting year. This trend is expected to continue in the 2015 year</w:t>
      </w:r>
      <w:r w:rsidR="00494F86" w:rsidRPr="00755D7D">
        <w:t xml:space="preserve">. </w:t>
      </w:r>
      <w:r w:rsidR="00D76977" w:rsidRPr="00755D7D">
        <w:t>While there has been an increase in administrative expenses in the 2014 year this is largely attributable to a one off redundancy cost for the staff member who left in the reporting year and as the move to ASIC</w:t>
      </w:r>
      <w:r w:rsidR="0044339B" w:rsidRPr="00755D7D">
        <w:t>’</w:t>
      </w:r>
      <w:r w:rsidR="00D76977" w:rsidRPr="00755D7D">
        <w:t xml:space="preserve">s premises has resulted in a reduction in property costs it is not expected that administrative expenses will continue to increase unless that increase is attributable to </w:t>
      </w:r>
      <w:r w:rsidR="00784B55" w:rsidRPr="00755D7D">
        <w:t xml:space="preserve">a further </w:t>
      </w:r>
      <w:r w:rsidR="00D76977" w:rsidRPr="00755D7D">
        <w:t>increase</w:t>
      </w:r>
      <w:r w:rsidR="00784B55" w:rsidRPr="00755D7D">
        <w:t xml:space="preserve"> in</w:t>
      </w:r>
      <w:r w:rsidR="00D76977" w:rsidRPr="00755D7D">
        <w:t xml:space="preserve"> hearing activity</w:t>
      </w:r>
      <w:r w:rsidR="00F633C6" w:rsidRPr="00755D7D">
        <w:t xml:space="preserve">. </w:t>
      </w:r>
    </w:p>
    <w:p w14:paraId="01D278A6" w14:textId="77777777" w:rsidR="002E303D" w:rsidRPr="00755D7D" w:rsidRDefault="002E303D" w:rsidP="00000B2E">
      <w:pPr>
        <w:pStyle w:val="CAR-BodyText-Left"/>
        <w:spacing w:after="120"/>
      </w:pPr>
      <w:r w:rsidRPr="00755D7D">
        <w:t>Members of CALDB are remunerated in accordance with rates determined by the Commonwealth Remuneration Tribunal. In early November 2013 the Remuneration Tribunal completed a review of part</w:t>
      </w:r>
      <w:r w:rsidR="0044339B" w:rsidRPr="00755D7D">
        <w:noBreakHyphen/>
      </w:r>
      <w:r w:rsidRPr="00755D7D">
        <w:t>time offices which foreshadowed a new part</w:t>
      </w:r>
      <w:r w:rsidR="0044339B" w:rsidRPr="00755D7D">
        <w:noBreakHyphen/>
      </w:r>
      <w:r w:rsidRPr="00755D7D">
        <w:t>time determination which was issued in early 2014 (2014/3) and took effect 1 March 2104</w:t>
      </w:r>
      <w:r w:rsidR="00494F86" w:rsidRPr="00755D7D">
        <w:t xml:space="preserve">. </w:t>
      </w:r>
      <w:r w:rsidRPr="00755D7D">
        <w:t>The daily rates effective for CALDB members from 1</w:t>
      </w:r>
      <w:r w:rsidR="00487C7E" w:rsidRPr="00755D7D">
        <w:t> March </w:t>
      </w:r>
      <w:r w:rsidRPr="00755D7D">
        <w:t>2014 are as follows:</w:t>
      </w:r>
    </w:p>
    <w:p w14:paraId="026B39DF" w14:textId="77777777" w:rsidR="002E303D" w:rsidRPr="00755D7D" w:rsidRDefault="002E303D" w:rsidP="00000B2E">
      <w:pPr>
        <w:pStyle w:val="CAR-BodyText-Left"/>
        <w:tabs>
          <w:tab w:val="left" w:pos="2977"/>
        </w:tabs>
        <w:spacing w:after="120"/>
      </w:pPr>
      <w:r w:rsidRPr="00755D7D">
        <w:t xml:space="preserve">Chairperson </w:t>
      </w:r>
      <w:r w:rsidRPr="00755D7D">
        <w:tab/>
        <w:t>$1,383</w:t>
      </w:r>
    </w:p>
    <w:p w14:paraId="6697D104" w14:textId="77777777" w:rsidR="002E303D" w:rsidRPr="00755D7D" w:rsidRDefault="002E303D" w:rsidP="00000B2E">
      <w:pPr>
        <w:pStyle w:val="CAR-BodyText-Left"/>
        <w:tabs>
          <w:tab w:val="left" w:pos="2977"/>
        </w:tabs>
        <w:spacing w:after="120"/>
      </w:pPr>
      <w:r w:rsidRPr="00755D7D">
        <w:t>Deputy Chairperson</w:t>
      </w:r>
      <w:r w:rsidR="006D796C" w:rsidRPr="00755D7D">
        <w:tab/>
      </w:r>
      <w:r w:rsidRPr="00755D7D">
        <w:t>$1,245</w:t>
      </w:r>
    </w:p>
    <w:p w14:paraId="693A6F59" w14:textId="77777777" w:rsidR="002E303D" w:rsidRPr="00755D7D" w:rsidRDefault="002E303D" w:rsidP="00487C7E">
      <w:pPr>
        <w:pStyle w:val="CAR-BodyText-Left"/>
        <w:tabs>
          <w:tab w:val="left" w:pos="2977"/>
        </w:tabs>
      </w:pPr>
      <w:r w:rsidRPr="00755D7D">
        <w:t>Member</w:t>
      </w:r>
      <w:r w:rsidRPr="00755D7D">
        <w:tab/>
        <w:t>$1,107</w:t>
      </w:r>
    </w:p>
    <w:p w14:paraId="01CE86EC" w14:textId="77777777" w:rsidR="005B6C28" w:rsidRPr="00755D7D" w:rsidRDefault="002E303D" w:rsidP="00E621BC">
      <w:pPr>
        <w:pStyle w:val="CAR-BodyText-Left"/>
      </w:pPr>
      <w:r w:rsidRPr="00755D7D">
        <w:t>CALDB spent $</w:t>
      </w:r>
      <w:r w:rsidR="00FB613B" w:rsidRPr="00755D7D">
        <w:t xml:space="preserve">32,411 </w:t>
      </w:r>
      <w:r w:rsidRPr="00755D7D">
        <w:t>on external legal advice and legal representation at appeal proceedings during the reporting year</w:t>
      </w:r>
      <w:r w:rsidR="00494F86" w:rsidRPr="00755D7D">
        <w:t xml:space="preserve">. </w:t>
      </w:r>
      <w:r w:rsidR="00BF7B63">
        <w:t>CALDB</w:t>
      </w:r>
      <w:r w:rsidRPr="00755D7D">
        <w:t xml:space="preserve"> briefed </w:t>
      </w:r>
      <w:r w:rsidR="00BF7B63">
        <w:t xml:space="preserve">the AGS </w:t>
      </w:r>
      <w:r w:rsidRPr="00755D7D">
        <w:t xml:space="preserve">in relation to appeal proceedings </w:t>
      </w:r>
      <w:r w:rsidR="00BF7B63">
        <w:t>commenced</w:t>
      </w:r>
      <w:r w:rsidR="00B8136C" w:rsidRPr="00755D7D">
        <w:t xml:space="preserve"> </w:t>
      </w:r>
      <w:r w:rsidRPr="00755D7D">
        <w:t>by two Respondents</w:t>
      </w:r>
      <w:r w:rsidR="00B8136C" w:rsidRPr="00755D7D">
        <w:t xml:space="preserve"> against the Board</w:t>
      </w:r>
      <w:r w:rsidR="00494F86" w:rsidRPr="00755D7D">
        <w:t xml:space="preserve">. </w:t>
      </w:r>
      <w:r w:rsidRPr="00755D7D">
        <w:t xml:space="preserve">Additionally, advice of Counsel was obtained in relation to </w:t>
      </w:r>
      <w:r w:rsidR="00BF7B63">
        <w:t xml:space="preserve">the proper </w:t>
      </w:r>
      <w:r w:rsidRPr="00755D7D">
        <w:t>interpretation of an aspect of the Board</w:t>
      </w:r>
      <w:r w:rsidR="0044339B" w:rsidRPr="00755D7D">
        <w:t>’</w:t>
      </w:r>
      <w:r w:rsidRPr="00755D7D">
        <w:t xml:space="preserve">s obligations under the </w:t>
      </w:r>
      <w:r w:rsidR="009D7BF7" w:rsidRPr="00755D7D">
        <w:t>Corporations Act</w:t>
      </w:r>
      <w:r w:rsidRPr="00755D7D">
        <w:t>.</w:t>
      </w:r>
    </w:p>
    <w:p w14:paraId="6B1ABA30" w14:textId="77777777" w:rsidR="005B6C28" w:rsidRPr="00755D7D" w:rsidRDefault="002E303D" w:rsidP="00E621BC">
      <w:pPr>
        <w:pStyle w:val="CAR-BodyText-Left"/>
        <w:rPr>
          <w:b/>
          <w:i/>
        </w:rPr>
      </w:pPr>
      <w:r w:rsidRPr="00755D7D">
        <w:lastRenderedPageBreak/>
        <w:t>While CALDB endeavours to operate within the budget allocated to it through ASIC</w:t>
      </w:r>
      <w:r w:rsidR="009531AA" w:rsidRPr="00755D7D">
        <w:t>,</w:t>
      </w:r>
      <w:r w:rsidRPr="00755D7D">
        <w:t xml:space="preserve"> a significant portion of the costs incurred by CALDB </w:t>
      </w:r>
      <w:r w:rsidR="008D5FA6" w:rsidRPr="00755D7D">
        <w:t>is</w:t>
      </w:r>
      <w:r w:rsidRPr="00755D7D">
        <w:t xml:space="preserve"> dependent on the </w:t>
      </w:r>
      <w:r w:rsidR="009531AA" w:rsidRPr="00755D7D">
        <w:t xml:space="preserve">number of </w:t>
      </w:r>
      <w:r w:rsidRPr="00755D7D">
        <w:t xml:space="preserve">applications </w:t>
      </w:r>
      <w:r w:rsidR="008D5FA6" w:rsidRPr="00755D7D">
        <w:t>received</w:t>
      </w:r>
      <w:r w:rsidRPr="00755D7D">
        <w:t xml:space="preserve"> and the hearing time and complexity of matters heard</w:t>
      </w:r>
      <w:r w:rsidR="009531AA" w:rsidRPr="00755D7D">
        <w:t>.</w:t>
      </w:r>
      <w:r w:rsidRPr="00755D7D">
        <w:t xml:space="preserve"> </w:t>
      </w:r>
      <w:r w:rsidR="009531AA" w:rsidRPr="00755D7D">
        <w:t>V</w:t>
      </w:r>
      <w:r w:rsidRPr="00755D7D">
        <w:t>ariation of those factors from year to year introduces uncertainty into the task of projecting the annual operating costs of CALDB</w:t>
      </w:r>
      <w:r w:rsidR="00494F86" w:rsidRPr="00755D7D">
        <w:t xml:space="preserve">. </w:t>
      </w:r>
    </w:p>
    <w:p w14:paraId="7B65B4F4" w14:textId="77777777" w:rsidR="002E303D" w:rsidRPr="00755D7D" w:rsidRDefault="00F073B9" w:rsidP="00487C7E">
      <w:pPr>
        <w:pStyle w:val="Heading2"/>
      </w:pPr>
      <w:bookmarkStart w:id="16" w:name="_Toc395079014"/>
      <w:r w:rsidRPr="00755D7D">
        <w:t>Work h</w:t>
      </w:r>
      <w:r w:rsidR="006516ED" w:rsidRPr="00755D7D">
        <w:t>ealth and safety and environmental matters</w:t>
      </w:r>
      <w:bookmarkEnd w:id="16"/>
    </w:p>
    <w:p w14:paraId="07DBEC9B" w14:textId="77777777" w:rsidR="002E303D" w:rsidRPr="00755D7D" w:rsidRDefault="002E303D" w:rsidP="00E621BC">
      <w:pPr>
        <w:pStyle w:val="CAR-BodyText-Left"/>
      </w:pPr>
      <w:r w:rsidRPr="00755D7D">
        <w:t>ASIC is responsible for work health and safety and the working environment for staff seconded to the CALDB</w:t>
      </w:r>
      <w:r w:rsidR="00494F86" w:rsidRPr="00755D7D">
        <w:t xml:space="preserve">. </w:t>
      </w:r>
    </w:p>
    <w:p w14:paraId="1B10A272" w14:textId="77777777" w:rsidR="002E303D" w:rsidRPr="00755D7D" w:rsidRDefault="009531AA" w:rsidP="00E621BC">
      <w:pPr>
        <w:pStyle w:val="CAR-BodyText-Left"/>
      </w:pPr>
      <w:r w:rsidRPr="00755D7D">
        <w:t>The</w:t>
      </w:r>
      <w:r w:rsidR="002E303D" w:rsidRPr="00755D7D">
        <w:t xml:space="preserve"> Registrar, </w:t>
      </w:r>
      <w:r w:rsidRPr="00755D7D">
        <w:t xml:space="preserve">the only staff member seconded to CALDB, </w:t>
      </w:r>
      <w:r w:rsidR="002E303D" w:rsidRPr="00755D7D">
        <w:t>monitors the workplace environment on an ongoing basis to ensure the health, safety and welfare of workers who carry out work for CALDB. No accidents or dangerous occurrences, or relevant investigations took place during the 2013</w:t>
      </w:r>
      <w:r w:rsidR="00755D7D" w:rsidRPr="00755D7D">
        <w:t>–</w:t>
      </w:r>
      <w:r w:rsidR="002E303D" w:rsidRPr="00755D7D">
        <w:t xml:space="preserve">14 financial </w:t>
      </w:r>
      <w:proofErr w:type="gramStart"/>
      <w:r w:rsidR="002E303D" w:rsidRPr="00755D7D">
        <w:t>year</w:t>
      </w:r>
      <w:proofErr w:type="gramEnd"/>
      <w:r w:rsidR="002E303D" w:rsidRPr="00755D7D">
        <w:t xml:space="preserve">. The Registrar and CALDB Board members when attending hearings and Board </w:t>
      </w:r>
      <w:proofErr w:type="gramStart"/>
      <w:r w:rsidR="002E303D" w:rsidRPr="00755D7D">
        <w:t>meetings,</w:t>
      </w:r>
      <w:proofErr w:type="gramEnd"/>
      <w:r w:rsidR="002E303D" w:rsidRPr="00755D7D">
        <w:t xml:space="preserve"> are covered </w:t>
      </w:r>
      <w:r w:rsidR="004427E7" w:rsidRPr="00755D7D">
        <w:t xml:space="preserve">either </w:t>
      </w:r>
      <w:r w:rsidR="002E303D" w:rsidRPr="00755D7D">
        <w:t xml:space="preserve">under </w:t>
      </w:r>
      <w:proofErr w:type="spellStart"/>
      <w:r w:rsidR="002E303D" w:rsidRPr="00755D7D">
        <w:t>Comcare</w:t>
      </w:r>
      <w:proofErr w:type="spellEnd"/>
      <w:r w:rsidR="002E303D" w:rsidRPr="00755D7D">
        <w:t xml:space="preserve"> and </w:t>
      </w:r>
      <w:proofErr w:type="spellStart"/>
      <w:r w:rsidR="002E303D" w:rsidRPr="00755D7D">
        <w:t>Comcover</w:t>
      </w:r>
      <w:proofErr w:type="spellEnd"/>
      <w:r w:rsidR="004427E7" w:rsidRPr="00755D7D">
        <w:t xml:space="preserve"> or have their own arrangements in place</w:t>
      </w:r>
      <w:r w:rsidR="00494F86" w:rsidRPr="00755D7D">
        <w:t xml:space="preserve">. </w:t>
      </w:r>
    </w:p>
    <w:p w14:paraId="6834A25D" w14:textId="77777777" w:rsidR="002E303D" w:rsidRPr="00755D7D" w:rsidRDefault="002E303D" w:rsidP="00000B2E">
      <w:pPr>
        <w:pStyle w:val="CAR-BodyText-Left"/>
        <w:spacing w:after="180"/>
      </w:pPr>
      <w:r w:rsidRPr="00755D7D">
        <w:t xml:space="preserve">Section 516A of the </w:t>
      </w:r>
      <w:r w:rsidR="009D7BF7" w:rsidRPr="00755D7D">
        <w:rPr>
          <w:i/>
        </w:rPr>
        <w:t>Environment Protection and Biodiversity Conservation Act 1999</w:t>
      </w:r>
      <w:r w:rsidRPr="00755D7D">
        <w:t xml:space="preserve"> requires CALDB to report on matters relevant to environmentally sustainable development (ESD)</w:t>
      </w:r>
      <w:r w:rsidR="00494F86" w:rsidRPr="00755D7D">
        <w:t xml:space="preserve">. </w:t>
      </w:r>
      <w:r w:rsidRPr="00755D7D">
        <w:t>CALDB reports that:</w:t>
      </w:r>
    </w:p>
    <w:p w14:paraId="4645B768" w14:textId="77777777" w:rsidR="002E303D" w:rsidRPr="00755D7D" w:rsidRDefault="002E303D" w:rsidP="00000B2E">
      <w:pPr>
        <w:pStyle w:val="CAR-Bullet-1"/>
        <w:spacing w:after="180"/>
      </w:pPr>
      <w:r w:rsidRPr="00755D7D">
        <w:t>the only activities relevant to ESD principles concern procurement of goods and services</w:t>
      </w:r>
      <w:r w:rsidR="00FB613B" w:rsidRPr="00755D7D">
        <w:t xml:space="preserve"> which is done through ASIC</w:t>
      </w:r>
      <w:r w:rsidR="009531AA" w:rsidRPr="00755D7D">
        <w:t>;</w:t>
      </w:r>
    </w:p>
    <w:p w14:paraId="7B99E0A7" w14:textId="77777777" w:rsidR="002E303D" w:rsidRPr="00755D7D" w:rsidRDefault="002E303D" w:rsidP="00000B2E">
      <w:pPr>
        <w:pStyle w:val="CAR-Bullet-1"/>
        <w:spacing w:after="180"/>
      </w:pPr>
      <w:r w:rsidRPr="00755D7D">
        <w:t>CALDB</w:t>
      </w:r>
      <w:r w:rsidR="0044339B" w:rsidRPr="00755D7D">
        <w:t>’</w:t>
      </w:r>
      <w:r w:rsidRPr="00755D7D">
        <w:t>s legislative function is not related to ESD principles</w:t>
      </w:r>
      <w:r w:rsidR="009531AA" w:rsidRPr="00755D7D">
        <w:t>;</w:t>
      </w:r>
      <w:r w:rsidR="00487C7E" w:rsidRPr="00755D7D">
        <w:t xml:space="preserve"> and</w:t>
      </w:r>
    </w:p>
    <w:p w14:paraId="594C58A2" w14:textId="77777777" w:rsidR="0063284F" w:rsidRPr="00755D7D" w:rsidRDefault="002E303D" w:rsidP="00487C7E">
      <w:pPr>
        <w:pStyle w:val="CAR-Bullet-1"/>
      </w:pPr>
      <w:r w:rsidRPr="00755D7D">
        <w:t>CALDB is a small statutory body with only one full time staff member operating from a single location in Sydney and has a limited environmental impact</w:t>
      </w:r>
      <w:r w:rsidR="00494F86" w:rsidRPr="00755D7D">
        <w:t xml:space="preserve">. </w:t>
      </w:r>
      <w:r w:rsidRPr="00755D7D">
        <w:t>CALDB seeks to use minimum energy, water, paper and other resources necessary to perform its functions and keeps under constant review possible measures to reduce its environmental impact</w:t>
      </w:r>
      <w:r w:rsidR="00F1721B" w:rsidRPr="00755D7D">
        <w:t>.</w:t>
      </w:r>
    </w:p>
    <w:p w14:paraId="60F12354" w14:textId="77777777" w:rsidR="002E303D" w:rsidRPr="00755D7D" w:rsidRDefault="006516ED" w:rsidP="00487C7E">
      <w:pPr>
        <w:pStyle w:val="Heading2"/>
      </w:pPr>
      <w:bookmarkStart w:id="17" w:name="_Toc395079015"/>
      <w:r w:rsidRPr="00755D7D">
        <w:t xml:space="preserve">FOI </w:t>
      </w:r>
      <w:r w:rsidR="00DD3298" w:rsidRPr="00755D7D">
        <w:t xml:space="preserve">Act </w:t>
      </w:r>
      <w:r w:rsidRPr="00755D7D">
        <w:t xml:space="preserve">and section 13 </w:t>
      </w:r>
      <w:proofErr w:type="gramStart"/>
      <w:r w:rsidRPr="00755D7D">
        <w:t>AD(</w:t>
      </w:r>
      <w:proofErr w:type="gramEnd"/>
      <w:r w:rsidRPr="00755D7D">
        <w:t>JR) Act requests</w:t>
      </w:r>
      <w:bookmarkEnd w:id="17"/>
    </w:p>
    <w:p w14:paraId="1DE53D9C" w14:textId="77777777" w:rsidR="002E303D" w:rsidRPr="00755D7D" w:rsidRDefault="002E303D" w:rsidP="00487C7E">
      <w:pPr>
        <w:pStyle w:val="CAR-BodyText-Left"/>
      </w:pPr>
      <w:r w:rsidRPr="00755D7D">
        <w:t xml:space="preserve">CALDB did not receive any applications for information under the </w:t>
      </w:r>
      <w:r w:rsidRPr="00755D7D">
        <w:rPr>
          <w:i/>
        </w:rPr>
        <w:t>Freedom of Information Act 1982</w:t>
      </w:r>
      <w:r w:rsidRPr="00755D7D">
        <w:t xml:space="preserve"> </w:t>
      </w:r>
      <w:r w:rsidR="00DD3298" w:rsidRPr="00755D7D">
        <w:t>(FOI</w:t>
      </w:r>
      <w:r w:rsidR="00E7530B" w:rsidRPr="00755D7D">
        <w:t xml:space="preserve"> Act</w:t>
      </w:r>
      <w:r w:rsidR="00DD3298" w:rsidRPr="00755D7D">
        <w:t xml:space="preserve">) </w:t>
      </w:r>
      <w:r w:rsidRPr="00755D7D">
        <w:t xml:space="preserve">or any requests for reasons pursuant to section 13 of the </w:t>
      </w:r>
      <w:r w:rsidRPr="00755D7D">
        <w:rPr>
          <w:i/>
        </w:rPr>
        <w:t>Administrative Decisions (Judicial Review) Act 1977</w:t>
      </w:r>
      <w:r w:rsidRPr="00755D7D">
        <w:t xml:space="preserve"> </w:t>
      </w:r>
      <w:r w:rsidR="00DD3298" w:rsidRPr="00755D7D">
        <w:t>(</w:t>
      </w:r>
      <w:proofErr w:type="gramStart"/>
      <w:r w:rsidR="00DD3298" w:rsidRPr="00755D7D">
        <w:t>AD(</w:t>
      </w:r>
      <w:proofErr w:type="gramEnd"/>
      <w:r w:rsidR="00DD3298" w:rsidRPr="00755D7D">
        <w:t xml:space="preserve">JR) Act) </w:t>
      </w:r>
      <w:r w:rsidRPr="00755D7D">
        <w:t xml:space="preserve">during the year. </w:t>
      </w:r>
    </w:p>
    <w:p w14:paraId="7E795951" w14:textId="77777777" w:rsidR="002E303D" w:rsidRPr="00755D7D" w:rsidRDefault="002E303D" w:rsidP="00E621BC">
      <w:pPr>
        <w:pStyle w:val="CAR-BodyText-Left"/>
      </w:pPr>
      <w:r w:rsidRPr="00755D7D">
        <w:t xml:space="preserve">Applications under the </w:t>
      </w:r>
      <w:r w:rsidR="009D7BF7" w:rsidRPr="00755D7D">
        <w:t>FOI</w:t>
      </w:r>
      <w:r w:rsidR="00E97C49" w:rsidRPr="00755D7D">
        <w:t xml:space="preserve"> </w:t>
      </w:r>
      <w:r w:rsidRPr="00755D7D">
        <w:t>Act</w:t>
      </w:r>
      <w:r w:rsidRPr="00755D7D">
        <w:rPr>
          <w:i/>
        </w:rPr>
        <w:t xml:space="preserve"> </w:t>
      </w:r>
      <w:r w:rsidR="009D7BF7" w:rsidRPr="00755D7D">
        <w:t>and the</w:t>
      </w:r>
      <w:r w:rsidRPr="00755D7D">
        <w:rPr>
          <w:i/>
        </w:rPr>
        <w:t xml:space="preserve"> </w:t>
      </w:r>
      <w:proofErr w:type="gramStart"/>
      <w:r w:rsidRPr="00755D7D">
        <w:t>AD(</w:t>
      </w:r>
      <w:proofErr w:type="gramEnd"/>
      <w:r w:rsidRPr="00755D7D">
        <w:t>JR)</w:t>
      </w:r>
      <w:r w:rsidR="00DD3298" w:rsidRPr="00755D7D">
        <w:t xml:space="preserve"> Act</w:t>
      </w:r>
      <w:r w:rsidRPr="00755D7D">
        <w:rPr>
          <w:i/>
        </w:rPr>
        <w:t xml:space="preserve"> </w:t>
      </w:r>
      <w:r w:rsidR="005B6C28" w:rsidRPr="00755D7D">
        <w:t>may be made to the Registrar</w:t>
      </w:r>
      <w:r w:rsidRPr="00755D7D">
        <w:rPr>
          <w:i/>
        </w:rPr>
        <w:t xml:space="preserve"> </w:t>
      </w:r>
      <w:r w:rsidR="005B6C28" w:rsidRPr="00755D7D">
        <w:t>who</w:t>
      </w:r>
      <w:r w:rsidRPr="00755D7D">
        <w:t xml:space="preserve"> may be</w:t>
      </w:r>
      <w:r w:rsidR="005B6C28" w:rsidRPr="00755D7D">
        <w:t xml:space="preserve"> contact</w:t>
      </w:r>
      <w:r w:rsidRPr="00755D7D">
        <w:t>ed</w:t>
      </w:r>
      <w:r w:rsidR="005B6C28" w:rsidRPr="00755D7D">
        <w:t xml:space="preserve"> </w:t>
      </w:r>
      <w:r w:rsidRPr="00755D7D">
        <w:t>at GPO Box 3731</w:t>
      </w:r>
      <w:r w:rsidR="00755D7D" w:rsidRPr="00755D7D">
        <w:t>,</w:t>
      </w:r>
      <w:r w:rsidRPr="00755D7D">
        <w:t xml:space="preserve"> Sydney NSW 2000</w:t>
      </w:r>
      <w:r w:rsidR="005B6C28" w:rsidRPr="00755D7D">
        <w:t>.</w:t>
      </w:r>
      <w:r w:rsidRPr="00755D7D">
        <w:t xml:space="preserve"> </w:t>
      </w:r>
    </w:p>
    <w:p w14:paraId="10647BDA" w14:textId="77777777" w:rsidR="002E303D" w:rsidRPr="00755D7D" w:rsidRDefault="002E303D" w:rsidP="006E37E2">
      <w:pPr>
        <w:pStyle w:val="CAR-BodyText-Left"/>
      </w:pPr>
      <w:r w:rsidRPr="00755D7D">
        <w:t>CALDB is currently updating its website to comply with the</w:t>
      </w:r>
      <w:r w:rsidR="00755D7D" w:rsidRPr="00755D7D">
        <w:t xml:space="preserve"> Information Publication Scheme (</w:t>
      </w:r>
      <w:r w:rsidRPr="00755D7D">
        <w:t>IPS</w:t>
      </w:r>
      <w:r w:rsidR="00755D7D" w:rsidRPr="00755D7D">
        <w:t>) under par</w:t>
      </w:r>
      <w:r w:rsidRPr="00755D7D">
        <w:t>t</w:t>
      </w:r>
      <w:r w:rsidR="0063284F" w:rsidRPr="00755D7D">
        <w:t xml:space="preserve"> </w:t>
      </w:r>
      <w:r w:rsidRPr="00755D7D">
        <w:t>II of the FOI legislation</w:t>
      </w:r>
      <w:r w:rsidR="00494F86" w:rsidRPr="00755D7D">
        <w:t xml:space="preserve">. </w:t>
      </w:r>
    </w:p>
    <w:p w14:paraId="79F02499" w14:textId="77777777" w:rsidR="002E303D" w:rsidRPr="00755D7D" w:rsidRDefault="005B6C28" w:rsidP="00487C7E">
      <w:pPr>
        <w:pStyle w:val="Heading3"/>
      </w:pPr>
      <w:bookmarkStart w:id="18" w:name="_Toc395079016"/>
      <w:r w:rsidRPr="00755D7D">
        <w:lastRenderedPageBreak/>
        <w:t>Ethics</w:t>
      </w:r>
      <w:bookmarkEnd w:id="18"/>
    </w:p>
    <w:p w14:paraId="0CB8E996" w14:textId="77777777" w:rsidR="002E303D" w:rsidRPr="00755D7D" w:rsidRDefault="002E303D" w:rsidP="006E37E2">
      <w:pPr>
        <w:pStyle w:val="CAR-BodyText-Left"/>
      </w:pPr>
      <w:r w:rsidRPr="00755D7D">
        <w:t>The Registrar</w:t>
      </w:r>
      <w:r w:rsidR="005B6C28" w:rsidRPr="00755D7D">
        <w:t xml:space="preserve"> is required to adhere to the Australian Public Service values and code of conduct under the </w:t>
      </w:r>
      <w:r w:rsidR="009D7BF7" w:rsidRPr="00755D7D">
        <w:t>Public Service Act</w:t>
      </w:r>
      <w:r w:rsidR="005B6C28" w:rsidRPr="00755D7D">
        <w:t>. The requirements of the code of conduct include honesty, care and diligence, courtesy, compliance with the law, avoiding conflicts of interest and proper use of Commonwealth resources and information.</w:t>
      </w:r>
    </w:p>
    <w:p w14:paraId="2CE5D777" w14:textId="77777777" w:rsidR="002E303D" w:rsidRPr="00755D7D" w:rsidRDefault="005B6C28" w:rsidP="00487C7E">
      <w:pPr>
        <w:pStyle w:val="Heading3"/>
      </w:pPr>
      <w:bookmarkStart w:id="19" w:name="_Toc395079017"/>
      <w:r w:rsidRPr="00755D7D">
        <w:t>External scrutiny and accountability</w:t>
      </w:r>
      <w:bookmarkEnd w:id="19"/>
    </w:p>
    <w:p w14:paraId="0887BE02" w14:textId="77777777" w:rsidR="002E303D" w:rsidRPr="00755D7D" w:rsidRDefault="002E303D" w:rsidP="006E37E2">
      <w:pPr>
        <w:pStyle w:val="CAR-BodyText-Left"/>
      </w:pPr>
      <w:r w:rsidRPr="00755D7D">
        <w:t>During the financial year there were no judicial decisions or reports by the Auditor General, a parliamentary committee or the Commonwealth Ombudsman concerning</w:t>
      </w:r>
      <w:r w:rsidR="0063284F" w:rsidRPr="00755D7D">
        <w:t>,</w:t>
      </w:r>
      <w:r w:rsidRPr="00755D7D">
        <w:t xml:space="preserve"> or that could have a significant impact on</w:t>
      </w:r>
      <w:r w:rsidR="0063284F" w:rsidRPr="00755D7D">
        <w:t>,</w:t>
      </w:r>
      <w:r w:rsidRPr="00755D7D">
        <w:t xml:space="preserve"> the operations of CALDB.</w:t>
      </w:r>
    </w:p>
    <w:p w14:paraId="5A911B08" w14:textId="77777777" w:rsidR="002E303D" w:rsidRPr="00755D7D" w:rsidRDefault="002E303D" w:rsidP="006E37E2">
      <w:pPr>
        <w:pStyle w:val="CAR-BodyText-Left"/>
      </w:pPr>
      <w:r w:rsidRPr="00755D7D">
        <w:t xml:space="preserve">The parliamentary joint committee on Corporations and Financial Services (PJC) and the Senate Economics Legislation Committee review and prepare reports on the annual reports of statutory bodies </w:t>
      </w:r>
      <w:r w:rsidR="00BF7B63">
        <w:t>that</w:t>
      </w:r>
      <w:r w:rsidRPr="00755D7D">
        <w:t xml:space="preserve"> come under the Treasury portfolio including CALDB.</w:t>
      </w:r>
    </w:p>
    <w:p w14:paraId="0BC6E69D" w14:textId="77777777" w:rsidR="002E303D" w:rsidRPr="00755D7D" w:rsidRDefault="002E303D" w:rsidP="006E37E2">
      <w:pPr>
        <w:pStyle w:val="CAR-BodyText-Left"/>
      </w:pPr>
      <w:r w:rsidRPr="00755D7D">
        <w:t xml:space="preserve">The PJC, in its report tabled in the Senate in March 2014 that examined the annual reports of bodies established under the </w:t>
      </w:r>
      <w:r w:rsidR="009D7BF7" w:rsidRPr="00A72D17">
        <w:t>ASIC Act</w:t>
      </w:r>
      <w:r w:rsidRPr="00755D7D">
        <w:t xml:space="preserve"> made recommendations to enhance CALDB</w:t>
      </w:r>
      <w:r w:rsidR="0044339B" w:rsidRPr="00755D7D">
        <w:t>’</w:t>
      </w:r>
      <w:r w:rsidRPr="00755D7D">
        <w:t>s annual report. Those suggestions have been implemented as well as the recommendations suggested by the Senate Economics Legislation Committee in its report on annual reports tabled on 14 March 2013.</w:t>
      </w:r>
    </w:p>
    <w:p w14:paraId="6889CD4E" w14:textId="77777777" w:rsidR="002E303D" w:rsidRPr="00755D7D" w:rsidRDefault="002E303D" w:rsidP="006E37E2">
      <w:pPr>
        <w:pStyle w:val="CAR-BodyText-Left"/>
      </w:pPr>
      <w:r w:rsidRPr="00755D7D">
        <w:t>It is noted that the Senate Economics Legislation Committee, in its report on Annual reports tabled in March of this year noted that CALDB is reviewed and reported on by the PJC and it determined to consider but not report on the CALDB report as the PJC has specific responsibility for oversight of CALDB.</w:t>
      </w:r>
    </w:p>
    <w:p w14:paraId="099612FD" w14:textId="77777777" w:rsidR="002E303D" w:rsidRPr="00755D7D" w:rsidRDefault="005B6C28" w:rsidP="00487C7E">
      <w:pPr>
        <w:pStyle w:val="Heading3"/>
      </w:pPr>
      <w:bookmarkStart w:id="20" w:name="_Toc395079018"/>
      <w:r w:rsidRPr="00755D7D">
        <w:t>Management of human resources</w:t>
      </w:r>
      <w:bookmarkEnd w:id="20"/>
    </w:p>
    <w:p w14:paraId="5D632BBB" w14:textId="77777777" w:rsidR="002E303D" w:rsidRPr="00755D7D" w:rsidRDefault="005B6C28" w:rsidP="006E37E2">
      <w:pPr>
        <w:pStyle w:val="CAR-BodyText-Left"/>
      </w:pPr>
      <w:r w:rsidRPr="00755D7D">
        <w:t>As noted there is one full time ASIC employee</w:t>
      </w:r>
      <w:r w:rsidR="002E303D" w:rsidRPr="00755D7D">
        <w:t xml:space="preserve">, the Registrar, who is </w:t>
      </w:r>
      <w:r w:rsidRPr="00755D7D">
        <w:t xml:space="preserve">permanently seconded to CALDB </w:t>
      </w:r>
      <w:r w:rsidR="002E303D" w:rsidRPr="00755D7D">
        <w:t xml:space="preserve">and </w:t>
      </w:r>
      <w:r w:rsidRPr="00755D7D">
        <w:t xml:space="preserve">whose salary and entitlements are linked to the relevant ASIC officer salary scales and entitlements, which are determined under a collective agreement for ASIC staff. </w:t>
      </w:r>
    </w:p>
    <w:p w14:paraId="40918B23" w14:textId="77777777" w:rsidR="002E303D" w:rsidRPr="00755D7D" w:rsidRDefault="002E303D" w:rsidP="006E37E2">
      <w:pPr>
        <w:pStyle w:val="CAR-BodyText-Left"/>
      </w:pPr>
      <w:r w:rsidRPr="00755D7D">
        <w:t>The Registrar</w:t>
      </w:r>
      <w:r w:rsidR="0044339B" w:rsidRPr="00755D7D">
        <w:t>’</w:t>
      </w:r>
      <w:r w:rsidRPr="00755D7D">
        <w:t xml:space="preserve">s performance is </w:t>
      </w:r>
      <w:r w:rsidR="00BF7B63">
        <w:t>evaluated annually</w:t>
      </w:r>
      <w:r w:rsidRPr="00755D7D">
        <w:t xml:space="preserve"> by t</w:t>
      </w:r>
      <w:r w:rsidR="00BF7B63">
        <w:t>he Chairperson of CALDB</w:t>
      </w:r>
      <w:r w:rsidR="00494F86" w:rsidRPr="00755D7D">
        <w:t xml:space="preserve">. </w:t>
      </w:r>
      <w:r w:rsidRPr="00755D7D">
        <w:t>The Registrar received a performance bonus in the current reporting year</w:t>
      </w:r>
      <w:r w:rsidR="00494F86" w:rsidRPr="00755D7D">
        <w:t xml:space="preserve">. </w:t>
      </w:r>
    </w:p>
    <w:p w14:paraId="2A938E44" w14:textId="77777777" w:rsidR="002E303D" w:rsidRPr="00755D7D" w:rsidRDefault="005B6C28" w:rsidP="006E37E2">
      <w:pPr>
        <w:pStyle w:val="CAR-BodyText-Left"/>
      </w:pPr>
      <w:r w:rsidRPr="00755D7D">
        <w:t>No work and safety issues arose during the 2013</w:t>
      </w:r>
      <w:r w:rsidR="0044339B" w:rsidRPr="00755D7D">
        <w:noBreakHyphen/>
      </w:r>
      <w:r w:rsidRPr="00755D7D">
        <w:t>14 financial year.</w:t>
      </w:r>
    </w:p>
    <w:p w14:paraId="79C5844A" w14:textId="77777777" w:rsidR="002E303D" w:rsidRPr="00755D7D" w:rsidRDefault="005B6C28" w:rsidP="00487C7E">
      <w:pPr>
        <w:pStyle w:val="Heading3"/>
      </w:pPr>
      <w:bookmarkStart w:id="21" w:name="_Toc395079019"/>
      <w:r w:rsidRPr="00755D7D">
        <w:t>Purchasing</w:t>
      </w:r>
      <w:bookmarkEnd w:id="21"/>
    </w:p>
    <w:p w14:paraId="297116ED" w14:textId="77777777" w:rsidR="002E303D" w:rsidRPr="00755D7D" w:rsidRDefault="002E303D" w:rsidP="006E37E2">
      <w:pPr>
        <w:pStyle w:val="CAR-BodyText-Left"/>
      </w:pPr>
      <w:r w:rsidRPr="00755D7D">
        <w:t>All required items are purchased through arrangement with ASIC, which follows the Commonwealth Procurement guidelines. CALDB did not have any major capital purchases in 2013</w:t>
      </w:r>
      <w:r w:rsidR="0044339B" w:rsidRPr="00755D7D">
        <w:noBreakHyphen/>
      </w:r>
      <w:r w:rsidRPr="00755D7D">
        <w:t>14.</w:t>
      </w:r>
    </w:p>
    <w:p w14:paraId="7289484D" w14:textId="77777777" w:rsidR="002E303D" w:rsidRPr="00755D7D" w:rsidRDefault="005B6C28" w:rsidP="00487C7E">
      <w:pPr>
        <w:pStyle w:val="Heading3"/>
      </w:pPr>
      <w:bookmarkStart w:id="22" w:name="_Toc395079020"/>
      <w:r w:rsidRPr="00755D7D">
        <w:lastRenderedPageBreak/>
        <w:t>Consultants</w:t>
      </w:r>
      <w:bookmarkEnd w:id="22"/>
    </w:p>
    <w:p w14:paraId="17A7B9BF" w14:textId="77777777" w:rsidR="002E303D" w:rsidRPr="00755D7D" w:rsidRDefault="002E303D" w:rsidP="006E37E2">
      <w:pPr>
        <w:pStyle w:val="CAR-BodyText-Left"/>
      </w:pPr>
      <w:r w:rsidRPr="00755D7D">
        <w:t>During 2013</w:t>
      </w:r>
      <w:r w:rsidR="0044339B" w:rsidRPr="00755D7D">
        <w:noBreakHyphen/>
      </w:r>
      <w:r w:rsidRPr="00755D7D">
        <w:t>14 CALDB did not en</w:t>
      </w:r>
      <w:r w:rsidR="005B6C28" w:rsidRPr="00755D7D">
        <w:t>ter into any consultancy contracts and there are no ongoing consultancy contracts.</w:t>
      </w:r>
    </w:p>
    <w:p w14:paraId="188D8CF6" w14:textId="77777777" w:rsidR="002E303D" w:rsidRPr="00755D7D" w:rsidRDefault="005B6C28" w:rsidP="00487C7E">
      <w:pPr>
        <w:pStyle w:val="Heading3"/>
      </w:pPr>
      <w:bookmarkStart w:id="23" w:name="_Toc395079021"/>
      <w:r w:rsidRPr="00755D7D">
        <w:t>Competitive tendering</w:t>
      </w:r>
      <w:bookmarkEnd w:id="23"/>
    </w:p>
    <w:p w14:paraId="0965722B" w14:textId="77777777" w:rsidR="002E303D" w:rsidRPr="00755D7D" w:rsidRDefault="002E303D" w:rsidP="006E37E2">
      <w:pPr>
        <w:pStyle w:val="CAR-BodyText-Left"/>
      </w:pPr>
      <w:r w:rsidRPr="00755D7D">
        <w:t>CALDB did not undertake any competitive tendering or contracting during the 2013</w:t>
      </w:r>
      <w:r w:rsidR="0044339B" w:rsidRPr="00755D7D">
        <w:noBreakHyphen/>
      </w:r>
      <w:r w:rsidRPr="00755D7D">
        <w:t>14 financial year.</w:t>
      </w:r>
    </w:p>
    <w:p w14:paraId="13D982F6" w14:textId="77777777" w:rsidR="002E303D" w:rsidRPr="00755D7D" w:rsidRDefault="005B6C28" w:rsidP="007132B3">
      <w:pPr>
        <w:pStyle w:val="Heading3"/>
      </w:pPr>
      <w:bookmarkStart w:id="24" w:name="_Toc395079022"/>
      <w:r w:rsidRPr="00755D7D">
        <w:t>Australian National Audit office Access Clauses</w:t>
      </w:r>
      <w:bookmarkEnd w:id="24"/>
    </w:p>
    <w:p w14:paraId="1A81D8B5" w14:textId="77777777" w:rsidR="002E303D" w:rsidRPr="00755D7D" w:rsidRDefault="002E303D" w:rsidP="006E37E2">
      <w:pPr>
        <w:pStyle w:val="CAR-BodyText-Left"/>
      </w:pPr>
      <w:r w:rsidRPr="00755D7D">
        <w:t>CALDB has not entered into any contract of $100,000 or more during the reporting period.</w:t>
      </w:r>
    </w:p>
    <w:p w14:paraId="02635A38" w14:textId="77777777" w:rsidR="002E303D" w:rsidRPr="00755D7D" w:rsidRDefault="005B6C28" w:rsidP="00487C7E">
      <w:pPr>
        <w:pStyle w:val="Heading3"/>
      </w:pPr>
      <w:bookmarkStart w:id="25" w:name="_Toc395079023"/>
      <w:r w:rsidRPr="00755D7D">
        <w:t>Exempt contracts</w:t>
      </w:r>
      <w:bookmarkEnd w:id="25"/>
    </w:p>
    <w:p w14:paraId="3888CE3E" w14:textId="77777777" w:rsidR="002E303D" w:rsidRPr="00755D7D" w:rsidRDefault="002E303D" w:rsidP="006E37E2">
      <w:pPr>
        <w:pStyle w:val="CAR-BodyText-Left"/>
      </w:pPr>
      <w:r w:rsidRPr="00755D7D">
        <w:t xml:space="preserve">CALDB has no contracts or standing offers that have been exempted from being published in </w:t>
      </w:r>
      <w:proofErr w:type="spellStart"/>
      <w:r w:rsidRPr="00755D7D">
        <w:t>AusTender</w:t>
      </w:r>
      <w:proofErr w:type="spellEnd"/>
      <w:r w:rsidRPr="00755D7D">
        <w:t xml:space="preserve"> on the basis that publication would disclose exempt matters under the</w:t>
      </w:r>
      <w:r w:rsidR="00E7530B" w:rsidRPr="00755D7D">
        <w:t xml:space="preserve"> </w:t>
      </w:r>
      <w:r w:rsidR="009D7BF7" w:rsidRPr="00755D7D">
        <w:t>FOI Act</w:t>
      </w:r>
      <w:r w:rsidRPr="00755D7D">
        <w:t>.</w:t>
      </w:r>
    </w:p>
    <w:p w14:paraId="735CE755" w14:textId="77777777" w:rsidR="002E303D" w:rsidRPr="00755D7D" w:rsidRDefault="005B6C28" w:rsidP="00487C7E">
      <w:pPr>
        <w:pStyle w:val="Heading3"/>
      </w:pPr>
      <w:bookmarkStart w:id="26" w:name="_Toc395079024"/>
      <w:r w:rsidRPr="00755D7D">
        <w:t xml:space="preserve">Advertising and </w:t>
      </w:r>
      <w:r w:rsidR="00755D7D" w:rsidRPr="00755D7D">
        <w:t>market research</w:t>
      </w:r>
      <w:bookmarkEnd w:id="26"/>
    </w:p>
    <w:p w14:paraId="4E238B4F" w14:textId="77777777" w:rsidR="002E303D" w:rsidRPr="00755D7D" w:rsidRDefault="002E303D" w:rsidP="006E37E2">
      <w:pPr>
        <w:pStyle w:val="CAR-BodyText-Left"/>
      </w:pPr>
      <w:r w:rsidRPr="00755D7D">
        <w:t>CALDB does not carry out any advertising or market research.</w:t>
      </w:r>
    </w:p>
    <w:p w14:paraId="44A43109" w14:textId="77777777" w:rsidR="002E303D" w:rsidRPr="00755D7D" w:rsidRDefault="005B6C28" w:rsidP="00487C7E">
      <w:pPr>
        <w:pStyle w:val="Heading3"/>
      </w:pPr>
      <w:bookmarkStart w:id="27" w:name="_Toc395079025"/>
      <w:r w:rsidRPr="00755D7D">
        <w:t>Discretionary grants</w:t>
      </w:r>
      <w:bookmarkEnd w:id="27"/>
      <w:r w:rsidRPr="00755D7D">
        <w:t xml:space="preserve"> </w:t>
      </w:r>
    </w:p>
    <w:p w14:paraId="69FA1037" w14:textId="77777777" w:rsidR="002E303D" w:rsidRDefault="002E303D" w:rsidP="006E37E2">
      <w:pPr>
        <w:pStyle w:val="CAR-BodyText-Left"/>
      </w:pPr>
      <w:r w:rsidRPr="00755D7D">
        <w:t>CALDB does not administer any discretionary grant programmes.</w:t>
      </w:r>
    </w:p>
    <w:p w14:paraId="394D080A" w14:textId="77777777" w:rsidR="00902C3C" w:rsidRDefault="00902C3C" w:rsidP="006E37E2">
      <w:pPr>
        <w:pStyle w:val="CAR-BodyText-Left"/>
      </w:pPr>
    </w:p>
    <w:p w14:paraId="5B3A3D59" w14:textId="77777777" w:rsidR="00AC4F1D" w:rsidRDefault="00AC4F1D" w:rsidP="006E37E2">
      <w:pPr>
        <w:pStyle w:val="CAR-BodyText-Left"/>
        <w:sectPr w:rsidR="00AC4F1D" w:rsidSect="000450F5">
          <w:type w:val="oddPage"/>
          <w:pgSz w:w="11907" w:h="16834" w:code="9"/>
          <w:pgMar w:top="2466" w:right="2098" w:bottom="2466" w:left="2098" w:header="1899" w:footer="1899" w:gutter="0"/>
          <w:cols w:space="720"/>
          <w:docGrid w:linePitch="326"/>
        </w:sectPr>
      </w:pPr>
    </w:p>
    <w:p w14:paraId="645077BD" w14:textId="77777777" w:rsidR="002E303D" w:rsidRPr="00755D7D" w:rsidRDefault="00E97C49" w:rsidP="00487C7E">
      <w:pPr>
        <w:pStyle w:val="Heading1"/>
        <w:rPr>
          <w:i/>
        </w:rPr>
      </w:pPr>
      <w:bookmarkStart w:id="28" w:name="_Toc395079026"/>
      <w:r w:rsidRPr="00755D7D">
        <w:lastRenderedPageBreak/>
        <w:t>Glossary</w:t>
      </w:r>
      <w:bookmarkEnd w:id="28"/>
      <w:r w:rsidRPr="00755D7D">
        <w:t xml:space="preserve"> </w:t>
      </w:r>
    </w:p>
    <w:p w14:paraId="7E0E89E3" w14:textId="77777777" w:rsidR="002E303D" w:rsidRPr="00755D7D" w:rsidRDefault="002E303D" w:rsidP="00487C7E">
      <w:pPr>
        <w:pStyle w:val="CAR-BodyText-Left"/>
        <w:tabs>
          <w:tab w:val="left" w:pos="2410"/>
        </w:tabs>
      </w:pPr>
      <w:r w:rsidRPr="00755D7D">
        <w:t>AAT</w:t>
      </w:r>
      <w:r w:rsidRPr="00755D7D">
        <w:tab/>
        <w:t>Administrative Appeals Tribunal</w:t>
      </w:r>
    </w:p>
    <w:p w14:paraId="0ECCCFD1" w14:textId="77777777" w:rsidR="002E303D" w:rsidRPr="00755D7D" w:rsidRDefault="002E303D" w:rsidP="00487C7E">
      <w:pPr>
        <w:pStyle w:val="CAR-BodyText-Left"/>
        <w:tabs>
          <w:tab w:val="left" w:pos="2410"/>
        </w:tabs>
      </w:pPr>
      <w:proofErr w:type="gramStart"/>
      <w:r w:rsidRPr="00755D7D">
        <w:t>AD(</w:t>
      </w:r>
      <w:proofErr w:type="gramEnd"/>
      <w:r w:rsidRPr="00755D7D">
        <w:t>JR)</w:t>
      </w:r>
      <w:r w:rsidR="00DD3298" w:rsidRPr="00755D7D">
        <w:t xml:space="preserve"> Act</w:t>
      </w:r>
      <w:r w:rsidRPr="00755D7D">
        <w:tab/>
      </w:r>
      <w:r w:rsidRPr="00755D7D">
        <w:rPr>
          <w:i/>
        </w:rPr>
        <w:t>Administrative Decisions (Judicial Review) Act 1977</w:t>
      </w:r>
    </w:p>
    <w:p w14:paraId="624D2C43" w14:textId="77777777" w:rsidR="002E303D" w:rsidRPr="00755D7D" w:rsidRDefault="002E303D" w:rsidP="00487C7E">
      <w:pPr>
        <w:pStyle w:val="CAR-BodyText-Left"/>
        <w:tabs>
          <w:tab w:val="left" w:pos="2410"/>
        </w:tabs>
      </w:pPr>
      <w:r w:rsidRPr="00755D7D">
        <w:t>AGS</w:t>
      </w:r>
      <w:r w:rsidRPr="00755D7D">
        <w:tab/>
        <w:t>Australian Government Solicitor</w:t>
      </w:r>
    </w:p>
    <w:p w14:paraId="45A7EE0A" w14:textId="77777777" w:rsidR="00DD3298" w:rsidRPr="00755D7D" w:rsidRDefault="00DD3298" w:rsidP="00487C7E">
      <w:pPr>
        <w:pStyle w:val="CAR-BodyText-Left"/>
        <w:tabs>
          <w:tab w:val="left" w:pos="2410"/>
        </w:tabs>
      </w:pPr>
      <w:r w:rsidRPr="00755D7D">
        <w:t>APRA</w:t>
      </w:r>
      <w:r w:rsidRPr="00755D7D">
        <w:tab/>
        <w:t>Australian Prudential Regulation Authority</w:t>
      </w:r>
    </w:p>
    <w:p w14:paraId="5663DE75" w14:textId="77777777" w:rsidR="002E303D" w:rsidRPr="00755D7D" w:rsidRDefault="002E303D" w:rsidP="00487C7E">
      <w:pPr>
        <w:pStyle w:val="CAR-BodyText-Left"/>
        <w:tabs>
          <w:tab w:val="left" w:pos="2410"/>
        </w:tabs>
      </w:pPr>
      <w:r w:rsidRPr="00755D7D">
        <w:t>A</w:t>
      </w:r>
      <w:r w:rsidR="006E37E2" w:rsidRPr="00755D7D">
        <w:t>PS</w:t>
      </w:r>
      <w:r w:rsidR="006E37E2" w:rsidRPr="00755D7D">
        <w:tab/>
        <w:t>Australian Public Service</w:t>
      </w:r>
    </w:p>
    <w:p w14:paraId="505A0CC3" w14:textId="77777777" w:rsidR="002E303D" w:rsidRPr="00755D7D" w:rsidRDefault="002E303D" w:rsidP="00487C7E">
      <w:pPr>
        <w:pStyle w:val="CAR-BodyText-Left"/>
        <w:tabs>
          <w:tab w:val="left" w:pos="2410"/>
        </w:tabs>
      </w:pPr>
      <w:r w:rsidRPr="00755D7D">
        <w:t>ASIC</w:t>
      </w:r>
      <w:r w:rsidRPr="00755D7D">
        <w:tab/>
        <w:t>Australian Securities and Investments Commission</w:t>
      </w:r>
    </w:p>
    <w:p w14:paraId="29A88203" w14:textId="77777777" w:rsidR="00BB0422" w:rsidRPr="00755D7D" w:rsidRDefault="002E303D" w:rsidP="00487C7E">
      <w:pPr>
        <w:pStyle w:val="CAR-BodyText-Left"/>
        <w:tabs>
          <w:tab w:val="left" w:pos="2410"/>
        </w:tabs>
      </w:pPr>
      <w:r w:rsidRPr="00755D7D">
        <w:t>ASIC Act</w:t>
      </w:r>
      <w:r w:rsidRPr="00755D7D">
        <w:tab/>
      </w:r>
      <w:r w:rsidRPr="00755D7D">
        <w:rPr>
          <w:i/>
        </w:rPr>
        <w:t>Australian Securities and Investments Commission Act 2001</w:t>
      </w:r>
    </w:p>
    <w:p w14:paraId="40907984" w14:textId="77777777" w:rsidR="00091CBC" w:rsidRPr="00755D7D" w:rsidRDefault="002E303D" w:rsidP="00487C7E">
      <w:pPr>
        <w:pStyle w:val="CAR-BodyText-Left"/>
        <w:tabs>
          <w:tab w:val="left" w:pos="2410"/>
        </w:tabs>
      </w:pPr>
      <w:r w:rsidRPr="00755D7D">
        <w:t>CALDB</w:t>
      </w:r>
      <w:r w:rsidRPr="00755D7D">
        <w:tab/>
        <w:t>Companies Auditors and Liquidators Disciplinary Board</w:t>
      </w:r>
    </w:p>
    <w:p w14:paraId="0192A149" w14:textId="77777777" w:rsidR="00E7530B" w:rsidRPr="00755D7D" w:rsidRDefault="00E7530B" w:rsidP="00487C7E">
      <w:pPr>
        <w:pStyle w:val="CAR-BodyText-Left"/>
        <w:tabs>
          <w:tab w:val="left" w:pos="2410"/>
        </w:tabs>
      </w:pPr>
      <w:r w:rsidRPr="00755D7D">
        <w:t>Corporations Act</w:t>
      </w:r>
      <w:r w:rsidRPr="00755D7D">
        <w:tab/>
      </w:r>
      <w:r w:rsidRPr="00755D7D">
        <w:rPr>
          <w:i/>
        </w:rPr>
        <w:t>Corporations Act 2001</w:t>
      </w:r>
    </w:p>
    <w:p w14:paraId="7142294F" w14:textId="77777777" w:rsidR="002E303D" w:rsidRPr="00755D7D" w:rsidRDefault="002E303D" w:rsidP="00487C7E">
      <w:pPr>
        <w:pStyle w:val="CAR-BodyText-Left"/>
        <w:tabs>
          <w:tab w:val="left" w:pos="2410"/>
        </w:tabs>
      </w:pPr>
      <w:r w:rsidRPr="00755D7D">
        <w:t xml:space="preserve">ESD </w:t>
      </w:r>
      <w:r w:rsidRPr="00755D7D">
        <w:tab/>
        <w:t>Environmentally sustainable development</w:t>
      </w:r>
    </w:p>
    <w:p w14:paraId="1237B9F5" w14:textId="77777777" w:rsidR="002E303D" w:rsidRPr="00755D7D" w:rsidRDefault="002E303D" w:rsidP="00487C7E">
      <w:pPr>
        <w:pStyle w:val="CAR-BodyText-Left"/>
        <w:tabs>
          <w:tab w:val="left" w:pos="2410"/>
        </w:tabs>
      </w:pPr>
      <w:r w:rsidRPr="00755D7D">
        <w:t>FOI Act</w:t>
      </w:r>
      <w:r w:rsidR="00D76977" w:rsidRPr="00755D7D">
        <w:tab/>
      </w:r>
      <w:r w:rsidR="009D7BF7" w:rsidRPr="00755D7D">
        <w:rPr>
          <w:i/>
        </w:rPr>
        <w:t>Freedom of Information Act 1982</w:t>
      </w:r>
    </w:p>
    <w:p w14:paraId="7EE5AD6A" w14:textId="77777777" w:rsidR="002E303D" w:rsidRPr="00755D7D" w:rsidRDefault="002E303D" w:rsidP="00487C7E">
      <w:pPr>
        <w:pStyle w:val="CAR-BodyText-Left"/>
        <w:tabs>
          <w:tab w:val="left" w:pos="2410"/>
        </w:tabs>
      </w:pPr>
      <w:r w:rsidRPr="00755D7D">
        <w:t xml:space="preserve">IPS </w:t>
      </w:r>
      <w:r w:rsidRPr="00755D7D">
        <w:tab/>
        <w:t>Information Publication Scheme</w:t>
      </w:r>
    </w:p>
    <w:p w14:paraId="4C3AAB4D" w14:textId="77777777" w:rsidR="005B6C28" w:rsidRPr="00755D7D" w:rsidRDefault="002E303D" w:rsidP="00000B2E">
      <w:pPr>
        <w:pStyle w:val="CAR-BodyText-Left"/>
        <w:tabs>
          <w:tab w:val="left" w:pos="2410"/>
        </w:tabs>
        <w:ind w:left="2410" w:hanging="2410"/>
      </w:pPr>
      <w:r w:rsidRPr="00755D7D">
        <w:t>PJC</w:t>
      </w:r>
      <w:r w:rsidRPr="00755D7D">
        <w:tab/>
        <w:t>Parliamentary Joint Committee on Corporations and Financial Services</w:t>
      </w:r>
    </w:p>
    <w:p w14:paraId="01CA831E" w14:textId="77777777" w:rsidR="00E97C49" w:rsidRPr="00755D7D" w:rsidRDefault="00E97C49" w:rsidP="00487C7E">
      <w:pPr>
        <w:pStyle w:val="CAR-BodyText-Left"/>
        <w:tabs>
          <w:tab w:val="left" w:pos="2410"/>
        </w:tabs>
      </w:pPr>
    </w:p>
    <w:p w14:paraId="5114B6B7" w14:textId="77777777" w:rsidR="003A7F46" w:rsidRDefault="003A7F46" w:rsidP="00E621BC">
      <w:pPr>
        <w:pStyle w:val="AppendixHeading"/>
        <w:sectPr w:rsidR="003A7F46" w:rsidSect="000450F5">
          <w:type w:val="oddPage"/>
          <w:pgSz w:w="11907" w:h="16834" w:code="9"/>
          <w:pgMar w:top="2466" w:right="2098" w:bottom="2466" w:left="2098" w:header="1899" w:footer="1899" w:gutter="0"/>
          <w:cols w:space="720"/>
          <w:docGrid w:linePitch="326"/>
        </w:sectPr>
      </w:pPr>
    </w:p>
    <w:p w14:paraId="22B279C1" w14:textId="77777777" w:rsidR="005B6C28" w:rsidRPr="00755D7D" w:rsidRDefault="006E37E2" w:rsidP="003E551F">
      <w:pPr>
        <w:pStyle w:val="AppendixHeading"/>
        <w:spacing w:before="360" w:after="180"/>
      </w:pPr>
      <w:bookmarkStart w:id="29" w:name="_Toc395079027"/>
      <w:r w:rsidRPr="00755D7D">
        <w:lastRenderedPageBreak/>
        <w:t>Appendix 1</w:t>
      </w:r>
      <w:bookmarkEnd w:id="29"/>
    </w:p>
    <w:p w14:paraId="33F5A17A" w14:textId="77777777" w:rsidR="005B6C28" w:rsidRPr="00755D7D" w:rsidRDefault="005B6C28" w:rsidP="003E551F">
      <w:pPr>
        <w:pStyle w:val="Heading2"/>
        <w:spacing w:before="180"/>
      </w:pPr>
      <w:bookmarkStart w:id="30" w:name="_Toc395079028"/>
      <w:r w:rsidRPr="00755D7D">
        <w:t>CALDB procedur</w:t>
      </w:r>
      <w:r w:rsidR="006E37E2" w:rsidRPr="00755D7D">
        <w:t>es with respect to applications</w:t>
      </w:r>
      <w:bookmarkEnd w:id="30"/>
    </w:p>
    <w:p w14:paraId="7140A048" w14:textId="77777777" w:rsidR="005B6C28" w:rsidRPr="00755D7D" w:rsidRDefault="002E303D" w:rsidP="003E551F">
      <w:pPr>
        <w:pStyle w:val="CAR-BodyText-Left"/>
        <w:spacing w:after="180"/>
      </w:pPr>
      <w:r w:rsidRPr="00755D7D">
        <w:t>A</w:t>
      </w:r>
      <w:r w:rsidR="005B6C28" w:rsidRPr="00755D7D">
        <w:t xml:space="preserve">pplications to CALDB may be made by either ASIC or APRA. </w:t>
      </w:r>
    </w:p>
    <w:p w14:paraId="5751D7A0" w14:textId="77777777" w:rsidR="005B6C28" w:rsidRPr="00755D7D" w:rsidRDefault="005B6C28" w:rsidP="003E551F">
      <w:pPr>
        <w:pStyle w:val="CAR-BodyText-Left"/>
        <w:spacing w:after="180"/>
      </w:pPr>
      <w:r w:rsidRPr="00755D7D">
        <w:t xml:space="preserve">Provisions of the </w:t>
      </w:r>
      <w:r w:rsidR="009D7BF7" w:rsidRPr="00755D7D">
        <w:t>Corporations Act</w:t>
      </w:r>
      <w:r w:rsidRPr="00755D7D">
        <w:t xml:space="preserve"> and </w:t>
      </w:r>
      <w:r w:rsidR="009D7BF7" w:rsidRPr="00755D7D">
        <w:t>ASIC Act</w:t>
      </w:r>
      <w:r w:rsidRPr="00755D7D">
        <w:t xml:space="preserve"> prescribe the essential procedures. These provide, importantly, that CALDB is required to provide a respondent with the opportunity to appear at a hearing held by CALDB and to make submissions to and adduce evidence before CALDB in relation to a matter. Hearings are conducted by a panel of board members</w:t>
      </w:r>
      <w:r w:rsidR="00BF7B63">
        <w:t xml:space="preserve"> convened by the Chairperson as required by the ASIC Act</w:t>
      </w:r>
      <w:r w:rsidRPr="00755D7D">
        <w:t>.</w:t>
      </w:r>
    </w:p>
    <w:p w14:paraId="79C9FD7F" w14:textId="77777777" w:rsidR="005B6C28" w:rsidRPr="00755D7D" w:rsidRDefault="005B6C28" w:rsidP="003E551F">
      <w:pPr>
        <w:pStyle w:val="CAR-BodyText-Left"/>
        <w:spacing w:after="180"/>
      </w:pPr>
      <w:r w:rsidRPr="00755D7D">
        <w:t xml:space="preserve">More detailed procedures adopted by CALDB are contained in its </w:t>
      </w:r>
      <w:r w:rsidRPr="00755D7D">
        <w:rPr>
          <w:i/>
        </w:rPr>
        <w:t>Manuals of Practice and Procedure</w:t>
      </w:r>
      <w:r w:rsidR="005C1C87" w:rsidRPr="00755D7D">
        <w:t xml:space="preserve"> available on CALDB</w:t>
      </w:r>
      <w:r w:rsidR="0044339B" w:rsidRPr="00755D7D">
        <w:t>’</w:t>
      </w:r>
      <w:r w:rsidR="005C1C87" w:rsidRPr="00755D7D">
        <w:t xml:space="preserve">s website, </w:t>
      </w:r>
      <w:hyperlink r:id="rId29" w:history="1">
        <w:r w:rsidR="00021666" w:rsidRPr="00755D7D">
          <w:rPr>
            <w:rStyle w:val="Hyperlink"/>
            <w:rFonts w:cs="Arial"/>
          </w:rPr>
          <w:t>www.caldb.gov.au</w:t>
        </w:r>
      </w:hyperlink>
      <w:r w:rsidR="00021666" w:rsidRPr="00755D7D">
        <w:t xml:space="preserve">. </w:t>
      </w:r>
      <w:r w:rsidRPr="00755D7D">
        <w:t xml:space="preserve">There is a manual for </w:t>
      </w:r>
      <w:r w:rsidR="0044339B" w:rsidRPr="00755D7D">
        <w:t>‘</w:t>
      </w:r>
      <w:r w:rsidRPr="00755D7D">
        <w:t>conduct</w:t>
      </w:r>
      <w:r w:rsidR="0044339B" w:rsidRPr="00755D7D">
        <w:t>’</w:t>
      </w:r>
      <w:r w:rsidRPr="00755D7D">
        <w:t xml:space="preserve"> matters and a manual for </w:t>
      </w:r>
      <w:r w:rsidR="0044339B" w:rsidRPr="00755D7D">
        <w:t>‘</w:t>
      </w:r>
      <w:r w:rsidRPr="00755D7D">
        <w:t>administrative</w:t>
      </w:r>
      <w:r w:rsidR="0044339B" w:rsidRPr="00755D7D">
        <w:t>’</w:t>
      </w:r>
      <w:r w:rsidRPr="00755D7D">
        <w:t xml:space="preserve"> matters. The manuals set out procedures to be followed in relation to the filing and exchange of documents and other material prior to a hearing and the procedures for pre</w:t>
      </w:r>
      <w:r w:rsidR="0044339B" w:rsidRPr="00755D7D">
        <w:noBreakHyphen/>
      </w:r>
      <w:r w:rsidRPr="00755D7D">
        <w:t>hearing conferences and for hearings</w:t>
      </w:r>
      <w:r w:rsidR="00494F86" w:rsidRPr="00755D7D">
        <w:t xml:space="preserve">. </w:t>
      </w:r>
    </w:p>
    <w:p w14:paraId="550EF250" w14:textId="77777777" w:rsidR="002E303D" w:rsidRPr="00755D7D" w:rsidRDefault="005B6C28" w:rsidP="003E551F">
      <w:pPr>
        <w:pStyle w:val="CAR-BodyText-Left"/>
        <w:spacing w:after="180"/>
      </w:pPr>
      <w:r w:rsidRPr="00755D7D">
        <w:t>The Manuals are provided to all parties involved in proceedings before CALDB. These documents are reviewed and updated from time to time.</w:t>
      </w:r>
    </w:p>
    <w:p w14:paraId="3972C699" w14:textId="77777777" w:rsidR="005B6C28" w:rsidRPr="00755D7D" w:rsidRDefault="005B6C28" w:rsidP="003E551F">
      <w:pPr>
        <w:pStyle w:val="CAR-BodyText-Left"/>
        <w:spacing w:after="180"/>
      </w:pPr>
      <w:r w:rsidRPr="00755D7D">
        <w:t xml:space="preserve">CALDB categorises the matters brought before it as </w:t>
      </w:r>
      <w:r w:rsidRPr="00755D7D">
        <w:rPr>
          <w:bCs/>
          <w:i/>
        </w:rPr>
        <w:t>administrative matters</w:t>
      </w:r>
      <w:r w:rsidRPr="00755D7D">
        <w:t xml:space="preserve"> or </w:t>
      </w:r>
      <w:r w:rsidRPr="00755D7D">
        <w:rPr>
          <w:bCs/>
          <w:i/>
        </w:rPr>
        <w:t>conduct matters</w:t>
      </w:r>
      <w:r w:rsidRPr="00755D7D">
        <w:t xml:space="preserve">. The categorisation has been adopted by CALDB as a procedural policy and will be reviewed from time to time. In general terms, administrative matters involve less complexity and are less time consuming than conduct matters. </w:t>
      </w:r>
    </w:p>
    <w:p w14:paraId="0339A5C4" w14:textId="77777777" w:rsidR="005B6C28" w:rsidRPr="00755D7D" w:rsidRDefault="005B6C28" w:rsidP="003E551F">
      <w:pPr>
        <w:pStyle w:val="CAR-BodyText-Left"/>
        <w:spacing w:after="180"/>
      </w:pPr>
      <w:r w:rsidRPr="00755D7D">
        <w:t xml:space="preserve">CALDB categorises as administrative matters those matters that arise from applications pursuant to the following provisions of the </w:t>
      </w:r>
      <w:r w:rsidR="009D7BF7" w:rsidRPr="00755D7D">
        <w:t>Corporations Act</w:t>
      </w:r>
      <w:r w:rsidRPr="00755D7D">
        <w:t>:</w:t>
      </w:r>
    </w:p>
    <w:tbl>
      <w:tblPr>
        <w:tblW w:w="4883" w:type="pct"/>
        <w:tblInd w:w="108" w:type="dxa"/>
        <w:tblBorders>
          <w:top w:val="single" w:sz="2" w:space="0" w:color="000080"/>
          <w:bottom w:val="single" w:sz="2" w:space="0" w:color="000080"/>
          <w:insideH w:val="single" w:sz="2" w:space="0" w:color="000080"/>
        </w:tblBorders>
        <w:tblLook w:val="01E0" w:firstRow="1" w:lastRow="1" w:firstColumn="1" w:lastColumn="1" w:noHBand="0" w:noVBand="0"/>
      </w:tblPr>
      <w:tblGrid>
        <w:gridCol w:w="1559"/>
        <w:gridCol w:w="6183"/>
      </w:tblGrid>
      <w:tr w:rsidR="002E303D" w:rsidRPr="00000B2E" w14:paraId="62C0C355" w14:textId="77777777" w:rsidTr="003E551F">
        <w:tc>
          <w:tcPr>
            <w:tcW w:w="1007" w:type="pct"/>
            <w:shd w:val="clear" w:color="auto" w:fill="D5D5FF"/>
          </w:tcPr>
          <w:p w14:paraId="5598FCEF" w14:textId="77777777" w:rsidR="005B6C28" w:rsidRPr="00000B2E" w:rsidRDefault="005B6C28" w:rsidP="00000B2E">
            <w:pPr>
              <w:pStyle w:val="Tabletextlarge"/>
              <w:spacing w:after="20"/>
              <w:rPr>
                <w:sz w:val="19"/>
                <w:szCs w:val="19"/>
              </w:rPr>
            </w:pPr>
            <w:r w:rsidRPr="00000B2E">
              <w:rPr>
                <w:sz w:val="19"/>
                <w:szCs w:val="19"/>
              </w:rPr>
              <w:t>subparagraph 1292(1)(a)(</w:t>
            </w:r>
            <w:proofErr w:type="spellStart"/>
            <w:r w:rsidRPr="00000B2E">
              <w:rPr>
                <w:sz w:val="19"/>
                <w:szCs w:val="19"/>
              </w:rPr>
              <w:t>i</w:t>
            </w:r>
            <w:proofErr w:type="spellEnd"/>
            <w:r w:rsidRPr="00000B2E">
              <w:rPr>
                <w:sz w:val="19"/>
                <w:szCs w:val="19"/>
              </w:rPr>
              <w:t>)</w:t>
            </w:r>
          </w:p>
        </w:tc>
        <w:tc>
          <w:tcPr>
            <w:tcW w:w="3993" w:type="pct"/>
            <w:shd w:val="clear" w:color="auto" w:fill="D5D5FF"/>
          </w:tcPr>
          <w:p w14:paraId="692C4786" w14:textId="77777777" w:rsidR="002E303D" w:rsidRPr="00000B2E" w:rsidRDefault="005B6C28" w:rsidP="00000B2E">
            <w:pPr>
              <w:pStyle w:val="Tabletextlarge"/>
              <w:spacing w:after="20"/>
              <w:rPr>
                <w:sz w:val="19"/>
                <w:szCs w:val="19"/>
              </w:rPr>
            </w:pPr>
            <w:r w:rsidRPr="00000B2E">
              <w:rPr>
                <w:sz w:val="19"/>
                <w:szCs w:val="19"/>
              </w:rPr>
              <w:t>failing to lodge annual statement under section 1287A (auditor)</w:t>
            </w:r>
          </w:p>
        </w:tc>
      </w:tr>
      <w:tr w:rsidR="002E303D" w:rsidRPr="00000B2E" w14:paraId="298CCDC3" w14:textId="77777777" w:rsidTr="003E551F">
        <w:tc>
          <w:tcPr>
            <w:tcW w:w="1007" w:type="pct"/>
          </w:tcPr>
          <w:p w14:paraId="1812840D" w14:textId="77777777" w:rsidR="002E303D" w:rsidRPr="00000B2E" w:rsidRDefault="005B6C28" w:rsidP="00000B2E">
            <w:pPr>
              <w:pStyle w:val="Tabletextlarge"/>
              <w:spacing w:after="20"/>
              <w:rPr>
                <w:sz w:val="19"/>
                <w:szCs w:val="19"/>
              </w:rPr>
            </w:pPr>
            <w:r w:rsidRPr="00000B2E">
              <w:rPr>
                <w:sz w:val="19"/>
                <w:szCs w:val="19"/>
              </w:rPr>
              <w:t>subparagraph 1292(1)(a)(ii)</w:t>
            </w:r>
          </w:p>
        </w:tc>
        <w:tc>
          <w:tcPr>
            <w:tcW w:w="3993" w:type="pct"/>
          </w:tcPr>
          <w:p w14:paraId="196096FB" w14:textId="77777777" w:rsidR="002E303D" w:rsidRPr="00000B2E" w:rsidRDefault="005B6C28" w:rsidP="00000B2E">
            <w:pPr>
              <w:pStyle w:val="Tabletextlarge"/>
              <w:spacing w:after="20"/>
              <w:rPr>
                <w:sz w:val="19"/>
                <w:szCs w:val="19"/>
              </w:rPr>
            </w:pPr>
            <w:r w:rsidRPr="00000B2E">
              <w:rPr>
                <w:sz w:val="19"/>
                <w:szCs w:val="19"/>
              </w:rPr>
              <w:t>ceasing to be resident in Australia (auditor)</w:t>
            </w:r>
          </w:p>
        </w:tc>
      </w:tr>
      <w:tr w:rsidR="002E303D" w:rsidRPr="00000B2E" w14:paraId="41188A78" w14:textId="77777777" w:rsidTr="003E551F">
        <w:tc>
          <w:tcPr>
            <w:tcW w:w="1007" w:type="pct"/>
            <w:shd w:val="clear" w:color="auto" w:fill="D5D5FF"/>
          </w:tcPr>
          <w:p w14:paraId="19BE7C9F" w14:textId="77777777" w:rsidR="002E303D" w:rsidRPr="00000B2E" w:rsidRDefault="005B6C28" w:rsidP="00000B2E">
            <w:pPr>
              <w:pStyle w:val="Tabletextlarge"/>
              <w:spacing w:after="20"/>
              <w:rPr>
                <w:sz w:val="19"/>
                <w:szCs w:val="19"/>
              </w:rPr>
            </w:pPr>
            <w:r w:rsidRPr="00000B2E">
              <w:rPr>
                <w:sz w:val="19"/>
                <w:szCs w:val="19"/>
              </w:rPr>
              <w:t>subparagraph 1292(2)(a)(</w:t>
            </w:r>
            <w:proofErr w:type="spellStart"/>
            <w:r w:rsidRPr="00000B2E">
              <w:rPr>
                <w:sz w:val="19"/>
                <w:szCs w:val="19"/>
              </w:rPr>
              <w:t>i</w:t>
            </w:r>
            <w:proofErr w:type="spellEnd"/>
            <w:r w:rsidRPr="00000B2E">
              <w:rPr>
                <w:sz w:val="19"/>
                <w:szCs w:val="19"/>
              </w:rPr>
              <w:t>)</w:t>
            </w:r>
          </w:p>
        </w:tc>
        <w:tc>
          <w:tcPr>
            <w:tcW w:w="3993" w:type="pct"/>
            <w:shd w:val="clear" w:color="auto" w:fill="D5D5FF"/>
          </w:tcPr>
          <w:p w14:paraId="3BBF9DE1" w14:textId="77777777" w:rsidR="002E303D" w:rsidRPr="00000B2E" w:rsidRDefault="005B6C28" w:rsidP="00000B2E">
            <w:pPr>
              <w:pStyle w:val="Tabletextlarge"/>
              <w:spacing w:after="20"/>
              <w:rPr>
                <w:sz w:val="19"/>
                <w:szCs w:val="19"/>
              </w:rPr>
            </w:pPr>
            <w:r w:rsidRPr="00000B2E">
              <w:rPr>
                <w:sz w:val="19"/>
                <w:szCs w:val="19"/>
              </w:rPr>
              <w:t>failing to lodge annual statement under section 1288 (liquidator)</w:t>
            </w:r>
          </w:p>
        </w:tc>
      </w:tr>
      <w:tr w:rsidR="002E303D" w:rsidRPr="00000B2E" w14:paraId="675084E5" w14:textId="77777777" w:rsidTr="003E551F">
        <w:tc>
          <w:tcPr>
            <w:tcW w:w="1007" w:type="pct"/>
          </w:tcPr>
          <w:p w14:paraId="6584ED3E" w14:textId="77777777" w:rsidR="002E303D" w:rsidRPr="00000B2E" w:rsidRDefault="005B6C28" w:rsidP="00000B2E">
            <w:pPr>
              <w:pStyle w:val="Tabletextlarge"/>
              <w:spacing w:after="20"/>
              <w:rPr>
                <w:sz w:val="19"/>
                <w:szCs w:val="19"/>
              </w:rPr>
            </w:pPr>
            <w:r w:rsidRPr="00000B2E">
              <w:rPr>
                <w:sz w:val="19"/>
                <w:szCs w:val="19"/>
              </w:rPr>
              <w:t>subparagraph 1292(2)(a)(ii)</w:t>
            </w:r>
          </w:p>
        </w:tc>
        <w:tc>
          <w:tcPr>
            <w:tcW w:w="3993" w:type="pct"/>
          </w:tcPr>
          <w:p w14:paraId="378E4096" w14:textId="77777777" w:rsidR="002E303D" w:rsidRPr="00000B2E" w:rsidRDefault="005B6C28" w:rsidP="00000B2E">
            <w:pPr>
              <w:pStyle w:val="Tabletextlarge"/>
              <w:spacing w:after="20"/>
              <w:rPr>
                <w:sz w:val="19"/>
                <w:szCs w:val="19"/>
              </w:rPr>
            </w:pPr>
            <w:r w:rsidRPr="00000B2E">
              <w:rPr>
                <w:sz w:val="19"/>
                <w:szCs w:val="19"/>
              </w:rPr>
              <w:t>ceasing to be resident in Australia (liquidator)</w:t>
            </w:r>
          </w:p>
        </w:tc>
      </w:tr>
      <w:tr w:rsidR="002E303D" w:rsidRPr="00000B2E" w14:paraId="6548FF7D" w14:textId="77777777" w:rsidTr="003E551F">
        <w:tc>
          <w:tcPr>
            <w:tcW w:w="1007" w:type="pct"/>
            <w:shd w:val="clear" w:color="auto" w:fill="D5D5FF"/>
          </w:tcPr>
          <w:p w14:paraId="17072D32" w14:textId="77777777" w:rsidR="002E303D" w:rsidRPr="00000B2E" w:rsidRDefault="005B6C28" w:rsidP="00000B2E">
            <w:pPr>
              <w:pStyle w:val="Tabletextlarge"/>
              <w:spacing w:after="20"/>
              <w:rPr>
                <w:sz w:val="19"/>
                <w:szCs w:val="19"/>
              </w:rPr>
            </w:pPr>
            <w:r w:rsidRPr="00000B2E">
              <w:rPr>
                <w:sz w:val="19"/>
                <w:szCs w:val="19"/>
              </w:rPr>
              <w:t>subparagraph 1292(3)(a)(</w:t>
            </w:r>
            <w:proofErr w:type="spellStart"/>
            <w:r w:rsidRPr="00000B2E">
              <w:rPr>
                <w:sz w:val="19"/>
                <w:szCs w:val="19"/>
              </w:rPr>
              <w:t>i</w:t>
            </w:r>
            <w:proofErr w:type="spellEnd"/>
            <w:r w:rsidRPr="00000B2E">
              <w:rPr>
                <w:sz w:val="19"/>
                <w:szCs w:val="19"/>
              </w:rPr>
              <w:t>)</w:t>
            </w:r>
          </w:p>
        </w:tc>
        <w:tc>
          <w:tcPr>
            <w:tcW w:w="3993" w:type="pct"/>
            <w:shd w:val="clear" w:color="auto" w:fill="D5D5FF"/>
          </w:tcPr>
          <w:p w14:paraId="095D8F24" w14:textId="77777777" w:rsidR="002E303D" w:rsidRPr="00000B2E" w:rsidRDefault="005B6C28" w:rsidP="00000B2E">
            <w:pPr>
              <w:pStyle w:val="Tabletextlarge"/>
              <w:spacing w:after="20"/>
              <w:rPr>
                <w:sz w:val="19"/>
                <w:szCs w:val="19"/>
              </w:rPr>
            </w:pPr>
            <w:r w:rsidRPr="00000B2E">
              <w:rPr>
                <w:sz w:val="19"/>
                <w:szCs w:val="19"/>
              </w:rPr>
              <w:t>failing to lodge a statement under section 1288(5) (liquidator of a specified body corporate)</w:t>
            </w:r>
          </w:p>
        </w:tc>
      </w:tr>
      <w:tr w:rsidR="002E303D" w:rsidRPr="00000B2E" w14:paraId="7CACF4BA" w14:textId="77777777" w:rsidTr="003E551F">
        <w:tc>
          <w:tcPr>
            <w:tcW w:w="1007" w:type="pct"/>
          </w:tcPr>
          <w:p w14:paraId="3C7E4D14" w14:textId="77777777" w:rsidR="002E303D" w:rsidRPr="00000B2E" w:rsidRDefault="005B6C28" w:rsidP="00000B2E">
            <w:pPr>
              <w:pStyle w:val="Tabletextlarge"/>
              <w:spacing w:after="20"/>
              <w:rPr>
                <w:sz w:val="19"/>
                <w:szCs w:val="19"/>
              </w:rPr>
            </w:pPr>
            <w:r w:rsidRPr="00000B2E">
              <w:rPr>
                <w:sz w:val="19"/>
                <w:szCs w:val="19"/>
              </w:rPr>
              <w:t>subparagraph 1292(3)(a)(ii)</w:t>
            </w:r>
          </w:p>
        </w:tc>
        <w:tc>
          <w:tcPr>
            <w:tcW w:w="3993" w:type="pct"/>
          </w:tcPr>
          <w:p w14:paraId="545FDCF8" w14:textId="77777777" w:rsidR="002E303D" w:rsidRPr="00000B2E" w:rsidRDefault="005B6C28" w:rsidP="00000B2E">
            <w:pPr>
              <w:pStyle w:val="Tabletextlarge"/>
              <w:spacing w:after="20"/>
              <w:rPr>
                <w:sz w:val="19"/>
                <w:szCs w:val="19"/>
              </w:rPr>
            </w:pPr>
            <w:r w:rsidRPr="00000B2E">
              <w:rPr>
                <w:sz w:val="19"/>
                <w:szCs w:val="19"/>
              </w:rPr>
              <w:t>ceasing to be resident in Australia (liquidator of a specified body corporate)</w:t>
            </w:r>
          </w:p>
        </w:tc>
      </w:tr>
      <w:tr w:rsidR="002E303D" w:rsidRPr="00000B2E" w14:paraId="2A11B03F" w14:textId="77777777" w:rsidTr="003E551F">
        <w:tc>
          <w:tcPr>
            <w:tcW w:w="1007" w:type="pct"/>
            <w:shd w:val="clear" w:color="auto" w:fill="D5D5FF"/>
          </w:tcPr>
          <w:p w14:paraId="12356D39" w14:textId="77777777" w:rsidR="002E303D" w:rsidRPr="00000B2E" w:rsidRDefault="005B6C28" w:rsidP="00000B2E">
            <w:pPr>
              <w:pStyle w:val="Tabletextlarge"/>
              <w:spacing w:after="20"/>
              <w:rPr>
                <w:sz w:val="19"/>
                <w:szCs w:val="19"/>
              </w:rPr>
            </w:pPr>
            <w:r w:rsidRPr="00000B2E">
              <w:rPr>
                <w:sz w:val="19"/>
                <w:szCs w:val="19"/>
              </w:rPr>
              <w:t>paragraph 1292(7)(a)</w:t>
            </w:r>
          </w:p>
        </w:tc>
        <w:tc>
          <w:tcPr>
            <w:tcW w:w="3993" w:type="pct"/>
            <w:shd w:val="clear" w:color="auto" w:fill="D5D5FF"/>
          </w:tcPr>
          <w:p w14:paraId="26ABDB88" w14:textId="77777777" w:rsidR="002E303D" w:rsidRPr="00000B2E" w:rsidRDefault="005B6C28" w:rsidP="00000B2E">
            <w:pPr>
              <w:pStyle w:val="Tabletextlarge"/>
              <w:spacing w:after="20"/>
              <w:rPr>
                <w:sz w:val="19"/>
                <w:szCs w:val="19"/>
              </w:rPr>
            </w:pPr>
            <w:r w:rsidRPr="00000B2E">
              <w:rPr>
                <w:sz w:val="19"/>
                <w:szCs w:val="19"/>
              </w:rPr>
              <w:t>becoming disqualified from managing corporations under Part 2D.6 (auditor or liquidator)</w:t>
            </w:r>
          </w:p>
        </w:tc>
      </w:tr>
      <w:tr w:rsidR="002E303D" w:rsidRPr="00000B2E" w14:paraId="3C03B079" w14:textId="77777777" w:rsidTr="003E551F">
        <w:tc>
          <w:tcPr>
            <w:tcW w:w="1007" w:type="pct"/>
          </w:tcPr>
          <w:p w14:paraId="03A33170" w14:textId="77777777" w:rsidR="002E303D" w:rsidRPr="00000B2E" w:rsidRDefault="005B6C28" w:rsidP="00000B2E">
            <w:pPr>
              <w:pStyle w:val="Tabletextlarge"/>
              <w:spacing w:after="20"/>
              <w:rPr>
                <w:sz w:val="19"/>
                <w:szCs w:val="19"/>
              </w:rPr>
            </w:pPr>
            <w:r w:rsidRPr="00000B2E">
              <w:rPr>
                <w:sz w:val="19"/>
                <w:szCs w:val="19"/>
              </w:rPr>
              <w:t>paragraph 1292(7)(b)</w:t>
            </w:r>
          </w:p>
        </w:tc>
        <w:tc>
          <w:tcPr>
            <w:tcW w:w="3993" w:type="pct"/>
          </w:tcPr>
          <w:p w14:paraId="26AC5348" w14:textId="77777777" w:rsidR="002E303D" w:rsidRPr="00000B2E" w:rsidRDefault="005B6C28" w:rsidP="00000B2E">
            <w:pPr>
              <w:pStyle w:val="Tabletextlarge"/>
              <w:spacing w:after="20"/>
              <w:rPr>
                <w:sz w:val="19"/>
                <w:szCs w:val="19"/>
              </w:rPr>
            </w:pPr>
            <w:r w:rsidRPr="00000B2E">
              <w:rPr>
                <w:sz w:val="19"/>
                <w:szCs w:val="19"/>
              </w:rPr>
              <w:t>becoming incapable because of mental infirmity of managing affairs (auditor or liquidator)</w:t>
            </w:r>
          </w:p>
        </w:tc>
      </w:tr>
    </w:tbl>
    <w:p w14:paraId="7495D816" w14:textId="77777777" w:rsidR="00755D7D" w:rsidRPr="003E551F" w:rsidRDefault="00755D7D" w:rsidP="00000B2E">
      <w:pPr>
        <w:pStyle w:val="CAR-BodyText-Left"/>
        <w:spacing w:after="0"/>
        <w:rPr>
          <w:sz w:val="12"/>
          <w:szCs w:val="12"/>
        </w:rPr>
      </w:pPr>
    </w:p>
    <w:p w14:paraId="338FC4CC" w14:textId="77777777" w:rsidR="005B6C28" w:rsidRPr="00755D7D" w:rsidRDefault="00755D7D" w:rsidP="003E551F">
      <w:pPr>
        <w:pStyle w:val="CAR-BodyText-Left"/>
      </w:pPr>
      <w:r w:rsidRPr="00755D7D">
        <w:br w:type="page"/>
      </w:r>
      <w:r w:rsidR="005B6C28" w:rsidRPr="00755D7D">
        <w:lastRenderedPageBreak/>
        <w:t xml:space="preserve">CALDB categorises as conduct matters those matters </w:t>
      </w:r>
      <w:r w:rsidR="00BF7B63">
        <w:t>that</w:t>
      </w:r>
      <w:r w:rsidR="005B6C28" w:rsidRPr="00755D7D">
        <w:t xml:space="preserve"> arise from applications pursuant to the following provisions of the </w:t>
      </w:r>
      <w:r w:rsidR="009D7BF7" w:rsidRPr="00755D7D">
        <w:t>Corporations Act</w:t>
      </w:r>
      <w:r w:rsidR="005B6C28" w:rsidRPr="00755D7D">
        <w:t>:</w:t>
      </w:r>
    </w:p>
    <w:tbl>
      <w:tblPr>
        <w:tblW w:w="4883" w:type="pct"/>
        <w:tblInd w:w="108" w:type="dxa"/>
        <w:tblBorders>
          <w:top w:val="single" w:sz="2" w:space="0" w:color="000080"/>
          <w:bottom w:val="single" w:sz="2" w:space="0" w:color="000080"/>
          <w:insideH w:val="single" w:sz="2" w:space="0" w:color="000080"/>
        </w:tblBorders>
        <w:tblLook w:val="01E0" w:firstRow="1" w:lastRow="1" w:firstColumn="1" w:lastColumn="1" w:noHBand="0" w:noVBand="0"/>
      </w:tblPr>
      <w:tblGrid>
        <w:gridCol w:w="1730"/>
        <w:gridCol w:w="6012"/>
      </w:tblGrid>
      <w:tr w:rsidR="002E303D" w:rsidRPr="003E551F" w14:paraId="3F220C17" w14:textId="77777777" w:rsidTr="00755D7D">
        <w:tc>
          <w:tcPr>
            <w:tcW w:w="1117" w:type="pct"/>
            <w:shd w:val="clear" w:color="auto" w:fill="D5D5FF"/>
          </w:tcPr>
          <w:p w14:paraId="2D7D82E1" w14:textId="77777777" w:rsidR="002E303D" w:rsidRPr="003E551F" w:rsidRDefault="005B6C28" w:rsidP="003E551F">
            <w:pPr>
              <w:pStyle w:val="Tabletextlarge"/>
              <w:spacing w:after="20"/>
              <w:rPr>
                <w:sz w:val="19"/>
                <w:szCs w:val="19"/>
              </w:rPr>
            </w:pPr>
            <w:r w:rsidRPr="003E551F">
              <w:rPr>
                <w:sz w:val="19"/>
                <w:szCs w:val="19"/>
              </w:rPr>
              <w:t>subparagraph 1292(1)(a)(</w:t>
            </w:r>
            <w:proofErr w:type="spellStart"/>
            <w:r w:rsidRPr="003E551F">
              <w:rPr>
                <w:sz w:val="19"/>
                <w:szCs w:val="19"/>
              </w:rPr>
              <w:t>ia</w:t>
            </w:r>
            <w:proofErr w:type="spellEnd"/>
            <w:r w:rsidRPr="003E551F">
              <w:rPr>
                <w:sz w:val="19"/>
                <w:szCs w:val="19"/>
              </w:rPr>
              <w:t>)</w:t>
            </w:r>
          </w:p>
        </w:tc>
        <w:tc>
          <w:tcPr>
            <w:tcW w:w="3883" w:type="pct"/>
            <w:shd w:val="clear" w:color="auto" w:fill="D5D5FF"/>
          </w:tcPr>
          <w:p w14:paraId="4312B121" w14:textId="77777777" w:rsidR="002E303D" w:rsidRPr="003E551F" w:rsidRDefault="005B6C28" w:rsidP="003E551F">
            <w:pPr>
              <w:pStyle w:val="Tabletextlarge"/>
              <w:spacing w:after="20"/>
              <w:rPr>
                <w:sz w:val="19"/>
                <w:szCs w:val="19"/>
              </w:rPr>
            </w:pPr>
            <w:r w:rsidRPr="003E551F">
              <w:rPr>
                <w:sz w:val="19"/>
                <w:szCs w:val="19"/>
              </w:rPr>
              <w:t>contravening section 324DB by playing a significant role in an audit without being eligible to do so (auditor)</w:t>
            </w:r>
          </w:p>
        </w:tc>
      </w:tr>
      <w:tr w:rsidR="002E303D" w:rsidRPr="003E551F" w14:paraId="6B4C1545" w14:textId="77777777" w:rsidTr="00755D7D">
        <w:tc>
          <w:tcPr>
            <w:tcW w:w="1117" w:type="pct"/>
          </w:tcPr>
          <w:p w14:paraId="1836A4AD" w14:textId="77777777" w:rsidR="002E303D" w:rsidRPr="003E551F" w:rsidRDefault="005B6C28" w:rsidP="003E551F">
            <w:pPr>
              <w:pStyle w:val="Tabletextlarge"/>
              <w:spacing w:after="20"/>
              <w:rPr>
                <w:sz w:val="19"/>
                <w:szCs w:val="19"/>
              </w:rPr>
            </w:pPr>
            <w:r w:rsidRPr="003E551F">
              <w:rPr>
                <w:sz w:val="19"/>
                <w:szCs w:val="19"/>
              </w:rPr>
              <w:t>subparagraph 1292(1)(a)(</w:t>
            </w:r>
            <w:proofErr w:type="spellStart"/>
            <w:r w:rsidRPr="003E551F">
              <w:rPr>
                <w:sz w:val="19"/>
                <w:szCs w:val="19"/>
              </w:rPr>
              <w:t>ia</w:t>
            </w:r>
            <w:proofErr w:type="spellEnd"/>
            <w:r w:rsidRPr="003E551F">
              <w:rPr>
                <w:sz w:val="19"/>
                <w:szCs w:val="19"/>
              </w:rPr>
              <w:t>)</w:t>
            </w:r>
          </w:p>
        </w:tc>
        <w:tc>
          <w:tcPr>
            <w:tcW w:w="3883" w:type="pct"/>
          </w:tcPr>
          <w:p w14:paraId="03583DEB" w14:textId="77777777" w:rsidR="002E303D" w:rsidRPr="003E551F" w:rsidRDefault="005B6C28" w:rsidP="003E551F">
            <w:pPr>
              <w:pStyle w:val="Tabletextlarge"/>
              <w:spacing w:after="20"/>
              <w:rPr>
                <w:sz w:val="19"/>
                <w:szCs w:val="19"/>
              </w:rPr>
            </w:pPr>
            <w:r w:rsidRPr="003E551F">
              <w:rPr>
                <w:sz w:val="19"/>
                <w:szCs w:val="19"/>
              </w:rPr>
              <w:t>failing to comply with a condition of registration (auditor)</w:t>
            </w:r>
          </w:p>
        </w:tc>
      </w:tr>
      <w:tr w:rsidR="002E303D" w:rsidRPr="003E551F" w14:paraId="24B2FA90" w14:textId="77777777" w:rsidTr="00755D7D">
        <w:tc>
          <w:tcPr>
            <w:tcW w:w="1117" w:type="pct"/>
            <w:shd w:val="clear" w:color="auto" w:fill="D5D5FF"/>
          </w:tcPr>
          <w:p w14:paraId="60D8DB0C" w14:textId="77777777" w:rsidR="002E303D" w:rsidRPr="003E551F" w:rsidRDefault="005B6C28" w:rsidP="003E551F">
            <w:pPr>
              <w:pStyle w:val="Tabletextlarge"/>
              <w:spacing w:after="20"/>
              <w:rPr>
                <w:sz w:val="19"/>
                <w:szCs w:val="19"/>
              </w:rPr>
            </w:pPr>
            <w:r w:rsidRPr="003E551F">
              <w:rPr>
                <w:sz w:val="19"/>
                <w:szCs w:val="19"/>
              </w:rPr>
              <w:t>subparagraph 1292(1)(b)(</w:t>
            </w:r>
            <w:proofErr w:type="spellStart"/>
            <w:r w:rsidRPr="003E551F">
              <w:rPr>
                <w:sz w:val="19"/>
                <w:szCs w:val="19"/>
              </w:rPr>
              <w:t>i</w:t>
            </w:r>
            <w:proofErr w:type="spellEnd"/>
            <w:r w:rsidRPr="003E551F">
              <w:rPr>
                <w:sz w:val="19"/>
                <w:szCs w:val="19"/>
              </w:rPr>
              <w:t>)</w:t>
            </w:r>
          </w:p>
        </w:tc>
        <w:tc>
          <w:tcPr>
            <w:tcW w:w="3883" w:type="pct"/>
            <w:shd w:val="clear" w:color="auto" w:fill="D5D5FF"/>
          </w:tcPr>
          <w:p w14:paraId="7A58333F" w14:textId="77777777" w:rsidR="002E303D" w:rsidRPr="003E551F" w:rsidRDefault="005B6C28" w:rsidP="003E551F">
            <w:pPr>
              <w:pStyle w:val="Tabletextlarge"/>
              <w:spacing w:after="20"/>
              <w:rPr>
                <w:sz w:val="19"/>
                <w:szCs w:val="19"/>
              </w:rPr>
            </w:pPr>
            <w:r w:rsidRPr="003E551F">
              <w:rPr>
                <w:sz w:val="19"/>
                <w:szCs w:val="19"/>
              </w:rPr>
              <w:t>not performing any audit work for five years and as a result ceasing to have the necessary practical experience (auditor)</w:t>
            </w:r>
          </w:p>
        </w:tc>
      </w:tr>
      <w:tr w:rsidR="002E303D" w:rsidRPr="003E551F" w14:paraId="5B4962BE" w14:textId="77777777" w:rsidTr="00755D7D">
        <w:tc>
          <w:tcPr>
            <w:tcW w:w="1117" w:type="pct"/>
          </w:tcPr>
          <w:p w14:paraId="014337C4" w14:textId="77777777" w:rsidR="002E303D" w:rsidRPr="003E551F" w:rsidRDefault="005B6C28" w:rsidP="003E551F">
            <w:pPr>
              <w:pStyle w:val="Tabletextlarge"/>
              <w:spacing w:after="20"/>
              <w:rPr>
                <w:sz w:val="19"/>
                <w:szCs w:val="19"/>
              </w:rPr>
            </w:pPr>
            <w:r w:rsidRPr="003E551F">
              <w:rPr>
                <w:sz w:val="19"/>
                <w:szCs w:val="19"/>
              </w:rPr>
              <w:t>subparagraph 1292(1)(b)(ii)</w:t>
            </w:r>
          </w:p>
        </w:tc>
        <w:tc>
          <w:tcPr>
            <w:tcW w:w="3883" w:type="pct"/>
          </w:tcPr>
          <w:p w14:paraId="0ABEF854" w14:textId="77777777" w:rsidR="002E303D" w:rsidRPr="003E551F" w:rsidRDefault="005B6C28" w:rsidP="003E551F">
            <w:pPr>
              <w:pStyle w:val="Tabletextlarge"/>
              <w:spacing w:after="20"/>
              <w:rPr>
                <w:sz w:val="19"/>
                <w:szCs w:val="19"/>
              </w:rPr>
            </w:pPr>
            <w:r w:rsidRPr="003E551F">
              <w:rPr>
                <w:sz w:val="19"/>
                <w:szCs w:val="19"/>
              </w:rPr>
              <w:t>not performing any significant audit work for five years and as a result ceasing to have the necessary practical experience (auditor)</w:t>
            </w:r>
          </w:p>
        </w:tc>
      </w:tr>
      <w:tr w:rsidR="002E303D" w:rsidRPr="003E551F" w14:paraId="5FB9A5BD" w14:textId="77777777" w:rsidTr="00755D7D">
        <w:tc>
          <w:tcPr>
            <w:tcW w:w="1117" w:type="pct"/>
            <w:shd w:val="clear" w:color="auto" w:fill="D5D5FF"/>
          </w:tcPr>
          <w:p w14:paraId="295DE928" w14:textId="77777777" w:rsidR="002E303D" w:rsidRPr="003E551F" w:rsidRDefault="005B6C28" w:rsidP="003E551F">
            <w:pPr>
              <w:pStyle w:val="Tabletextlarge"/>
              <w:spacing w:after="20"/>
              <w:rPr>
                <w:sz w:val="19"/>
                <w:szCs w:val="19"/>
              </w:rPr>
            </w:pPr>
            <w:r w:rsidRPr="003E551F">
              <w:rPr>
                <w:sz w:val="19"/>
                <w:szCs w:val="19"/>
              </w:rPr>
              <w:t>subparagraph 1292(1)(d)(</w:t>
            </w:r>
            <w:proofErr w:type="spellStart"/>
            <w:r w:rsidRPr="003E551F">
              <w:rPr>
                <w:sz w:val="19"/>
                <w:szCs w:val="19"/>
              </w:rPr>
              <w:t>i</w:t>
            </w:r>
            <w:proofErr w:type="spellEnd"/>
            <w:r w:rsidRPr="003E551F">
              <w:rPr>
                <w:sz w:val="19"/>
                <w:szCs w:val="19"/>
              </w:rPr>
              <w:t>)</w:t>
            </w:r>
          </w:p>
        </w:tc>
        <w:tc>
          <w:tcPr>
            <w:tcW w:w="3883" w:type="pct"/>
            <w:shd w:val="clear" w:color="auto" w:fill="D5D5FF"/>
          </w:tcPr>
          <w:p w14:paraId="12C66266" w14:textId="77777777" w:rsidR="002E303D" w:rsidRPr="003E551F" w:rsidRDefault="005B6C28" w:rsidP="003E551F">
            <w:pPr>
              <w:pStyle w:val="Tabletextlarge"/>
              <w:spacing w:after="20"/>
              <w:rPr>
                <w:sz w:val="19"/>
                <w:szCs w:val="19"/>
              </w:rPr>
            </w:pPr>
            <w:r w:rsidRPr="003E551F">
              <w:rPr>
                <w:sz w:val="19"/>
                <w:szCs w:val="19"/>
              </w:rPr>
              <w:t>failing to carry out the duties of an auditor (auditor)</w:t>
            </w:r>
          </w:p>
        </w:tc>
      </w:tr>
      <w:tr w:rsidR="002E303D" w:rsidRPr="003E551F" w14:paraId="4203056B" w14:textId="77777777" w:rsidTr="00755D7D">
        <w:tc>
          <w:tcPr>
            <w:tcW w:w="1117" w:type="pct"/>
          </w:tcPr>
          <w:p w14:paraId="701836D3" w14:textId="77777777" w:rsidR="002E303D" w:rsidRPr="003E551F" w:rsidRDefault="005B6C28" w:rsidP="003E551F">
            <w:pPr>
              <w:pStyle w:val="Tabletextlarge"/>
              <w:spacing w:after="20"/>
              <w:rPr>
                <w:sz w:val="19"/>
                <w:szCs w:val="19"/>
              </w:rPr>
            </w:pPr>
            <w:r w:rsidRPr="003E551F">
              <w:rPr>
                <w:sz w:val="19"/>
                <w:szCs w:val="19"/>
              </w:rPr>
              <w:t>subparagraph 1292(1)(d)(ii)</w:t>
            </w:r>
          </w:p>
        </w:tc>
        <w:tc>
          <w:tcPr>
            <w:tcW w:w="3883" w:type="pct"/>
          </w:tcPr>
          <w:p w14:paraId="6BFC1D75" w14:textId="77777777" w:rsidR="002E303D" w:rsidRPr="003E551F" w:rsidRDefault="005B6C28" w:rsidP="003E551F">
            <w:pPr>
              <w:pStyle w:val="Tabletextlarge"/>
              <w:spacing w:after="20"/>
              <w:rPr>
                <w:sz w:val="19"/>
                <w:szCs w:val="19"/>
              </w:rPr>
            </w:pPr>
            <w:r w:rsidRPr="003E551F">
              <w:rPr>
                <w:sz w:val="19"/>
                <w:szCs w:val="19"/>
              </w:rPr>
              <w:t>failing to carry out any duties or functions required by an Australian law to be carried out by a registered auditor (auditor)</w:t>
            </w:r>
          </w:p>
        </w:tc>
      </w:tr>
      <w:tr w:rsidR="002E303D" w:rsidRPr="003E551F" w14:paraId="6BA404C5" w14:textId="77777777" w:rsidTr="00755D7D">
        <w:tc>
          <w:tcPr>
            <w:tcW w:w="1117" w:type="pct"/>
            <w:shd w:val="clear" w:color="auto" w:fill="D5D5FF"/>
          </w:tcPr>
          <w:p w14:paraId="08F3B3B7" w14:textId="77777777" w:rsidR="002E303D" w:rsidRPr="003E551F" w:rsidRDefault="005B6C28" w:rsidP="003E551F">
            <w:pPr>
              <w:pStyle w:val="Tabletextlarge"/>
              <w:spacing w:after="20"/>
              <w:rPr>
                <w:sz w:val="19"/>
                <w:szCs w:val="19"/>
              </w:rPr>
            </w:pPr>
            <w:r w:rsidRPr="003E551F">
              <w:rPr>
                <w:sz w:val="19"/>
                <w:szCs w:val="19"/>
              </w:rPr>
              <w:t>paragraph 1292(1)(d)</w:t>
            </w:r>
          </w:p>
        </w:tc>
        <w:tc>
          <w:tcPr>
            <w:tcW w:w="3883" w:type="pct"/>
            <w:shd w:val="clear" w:color="auto" w:fill="D5D5FF"/>
          </w:tcPr>
          <w:p w14:paraId="08421ECB" w14:textId="77777777" w:rsidR="002E303D" w:rsidRPr="003E551F" w:rsidRDefault="005B6C28" w:rsidP="003E551F">
            <w:pPr>
              <w:pStyle w:val="Tabletextlarge"/>
              <w:spacing w:after="20"/>
              <w:rPr>
                <w:sz w:val="19"/>
                <w:szCs w:val="19"/>
              </w:rPr>
            </w:pPr>
            <w:r w:rsidRPr="003E551F">
              <w:rPr>
                <w:sz w:val="19"/>
                <w:szCs w:val="19"/>
              </w:rPr>
              <w:t>not being a fit and proper person to remain registered as an auditor (auditor)</w:t>
            </w:r>
          </w:p>
        </w:tc>
      </w:tr>
      <w:tr w:rsidR="002E303D" w:rsidRPr="003E551F" w14:paraId="7AA6FC7E" w14:textId="77777777" w:rsidTr="00755D7D">
        <w:tc>
          <w:tcPr>
            <w:tcW w:w="1117" w:type="pct"/>
          </w:tcPr>
          <w:p w14:paraId="0E57EE28" w14:textId="77777777" w:rsidR="002E303D" w:rsidRPr="003E551F" w:rsidRDefault="005B6C28" w:rsidP="003E551F">
            <w:pPr>
              <w:pStyle w:val="Tabletextlarge"/>
              <w:spacing w:after="20"/>
              <w:rPr>
                <w:sz w:val="19"/>
                <w:szCs w:val="19"/>
              </w:rPr>
            </w:pPr>
            <w:r w:rsidRPr="003E551F">
              <w:rPr>
                <w:sz w:val="19"/>
                <w:szCs w:val="19"/>
              </w:rPr>
              <w:t>subparagraph 1292(2)(d)(</w:t>
            </w:r>
            <w:proofErr w:type="spellStart"/>
            <w:r w:rsidRPr="003E551F">
              <w:rPr>
                <w:sz w:val="19"/>
                <w:szCs w:val="19"/>
              </w:rPr>
              <w:t>i</w:t>
            </w:r>
            <w:proofErr w:type="spellEnd"/>
            <w:r w:rsidRPr="003E551F">
              <w:rPr>
                <w:sz w:val="19"/>
                <w:szCs w:val="19"/>
              </w:rPr>
              <w:t>)</w:t>
            </w:r>
          </w:p>
        </w:tc>
        <w:tc>
          <w:tcPr>
            <w:tcW w:w="3883" w:type="pct"/>
          </w:tcPr>
          <w:p w14:paraId="5E584048" w14:textId="77777777" w:rsidR="002E303D" w:rsidRPr="003E551F" w:rsidRDefault="005B6C28" w:rsidP="003E551F">
            <w:pPr>
              <w:pStyle w:val="Tabletextlarge"/>
              <w:spacing w:after="20"/>
              <w:rPr>
                <w:sz w:val="19"/>
                <w:szCs w:val="19"/>
              </w:rPr>
            </w:pPr>
            <w:r w:rsidRPr="003E551F">
              <w:rPr>
                <w:sz w:val="19"/>
                <w:szCs w:val="19"/>
              </w:rPr>
              <w:t>failing to carry out the duties of a liquidator (liquidator)</w:t>
            </w:r>
          </w:p>
        </w:tc>
      </w:tr>
      <w:tr w:rsidR="002E303D" w:rsidRPr="003E551F" w14:paraId="333939D5" w14:textId="77777777" w:rsidTr="00755D7D">
        <w:tc>
          <w:tcPr>
            <w:tcW w:w="1117" w:type="pct"/>
            <w:shd w:val="clear" w:color="auto" w:fill="D5D5FF"/>
          </w:tcPr>
          <w:p w14:paraId="73317504" w14:textId="77777777" w:rsidR="002E303D" w:rsidRPr="003E551F" w:rsidRDefault="005B6C28" w:rsidP="003E551F">
            <w:pPr>
              <w:pStyle w:val="Tabletextlarge"/>
              <w:spacing w:after="20"/>
              <w:rPr>
                <w:sz w:val="19"/>
                <w:szCs w:val="19"/>
              </w:rPr>
            </w:pPr>
            <w:r w:rsidRPr="003E551F">
              <w:rPr>
                <w:sz w:val="19"/>
                <w:szCs w:val="19"/>
              </w:rPr>
              <w:t>subparagraph 1292(2)(d)(ii)</w:t>
            </w:r>
          </w:p>
        </w:tc>
        <w:tc>
          <w:tcPr>
            <w:tcW w:w="3883" w:type="pct"/>
            <w:shd w:val="clear" w:color="auto" w:fill="D5D5FF"/>
          </w:tcPr>
          <w:p w14:paraId="4B631569" w14:textId="77777777" w:rsidR="002E303D" w:rsidRPr="003E551F" w:rsidRDefault="005B6C28" w:rsidP="003E551F">
            <w:pPr>
              <w:pStyle w:val="Tabletextlarge"/>
              <w:spacing w:after="20"/>
              <w:rPr>
                <w:sz w:val="19"/>
                <w:szCs w:val="19"/>
              </w:rPr>
            </w:pPr>
            <w:r w:rsidRPr="003E551F">
              <w:rPr>
                <w:sz w:val="19"/>
                <w:szCs w:val="19"/>
              </w:rPr>
              <w:t>failing to carry out any duties or functions required by an Australian law to be carried out by a registered liquidator (liquidator)</w:t>
            </w:r>
          </w:p>
        </w:tc>
      </w:tr>
      <w:tr w:rsidR="002E303D" w:rsidRPr="003E551F" w14:paraId="2848163B" w14:textId="77777777" w:rsidTr="00755D7D">
        <w:tc>
          <w:tcPr>
            <w:tcW w:w="1117" w:type="pct"/>
          </w:tcPr>
          <w:p w14:paraId="356C6E4E" w14:textId="77777777" w:rsidR="002E303D" w:rsidRPr="003E551F" w:rsidRDefault="005B6C28" w:rsidP="003E551F">
            <w:pPr>
              <w:pStyle w:val="Tabletextlarge"/>
              <w:spacing w:after="20"/>
              <w:rPr>
                <w:sz w:val="19"/>
                <w:szCs w:val="19"/>
              </w:rPr>
            </w:pPr>
            <w:r w:rsidRPr="003E551F">
              <w:rPr>
                <w:sz w:val="19"/>
                <w:szCs w:val="19"/>
              </w:rPr>
              <w:t>paragraph 1292(2)(d)</w:t>
            </w:r>
          </w:p>
        </w:tc>
        <w:tc>
          <w:tcPr>
            <w:tcW w:w="3883" w:type="pct"/>
          </w:tcPr>
          <w:p w14:paraId="1BD07C95" w14:textId="77777777" w:rsidR="002E303D" w:rsidRPr="003E551F" w:rsidRDefault="005B6C28" w:rsidP="003E551F">
            <w:pPr>
              <w:pStyle w:val="Tabletextlarge"/>
              <w:spacing w:after="20"/>
              <w:rPr>
                <w:sz w:val="19"/>
                <w:szCs w:val="19"/>
              </w:rPr>
            </w:pPr>
            <w:r w:rsidRPr="003E551F">
              <w:rPr>
                <w:sz w:val="19"/>
                <w:szCs w:val="19"/>
              </w:rPr>
              <w:t>not being a fit and proper person to remain registered as a liquidator (liquidator)</w:t>
            </w:r>
          </w:p>
        </w:tc>
      </w:tr>
      <w:tr w:rsidR="002E303D" w:rsidRPr="003E551F" w14:paraId="4F16ACB9" w14:textId="77777777" w:rsidTr="00755D7D">
        <w:tc>
          <w:tcPr>
            <w:tcW w:w="1117" w:type="pct"/>
            <w:shd w:val="clear" w:color="auto" w:fill="D5D5FF"/>
          </w:tcPr>
          <w:p w14:paraId="70898E74" w14:textId="77777777" w:rsidR="002E303D" w:rsidRPr="003E551F" w:rsidRDefault="005B6C28" w:rsidP="003E551F">
            <w:pPr>
              <w:pStyle w:val="Tabletextlarge"/>
              <w:spacing w:after="20"/>
              <w:rPr>
                <w:sz w:val="19"/>
                <w:szCs w:val="19"/>
              </w:rPr>
            </w:pPr>
            <w:r w:rsidRPr="003E551F">
              <w:rPr>
                <w:sz w:val="19"/>
                <w:szCs w:val="19"/>
              </w:rPr>
              <w:t>paragraph 1292(3)(d)</w:t>
            </w:r>
          </w:p>
        </w:tc>
        <w:tc>
          <w:tcPr>
            <w:tcW w:w="3883" w:type="pct"/>
            <w:shd w:val="clear" w:color="auto" w:fill="D5D5FF"/>
          </w:tcPr>
          <w:p w14:paraId="682ADABE" w14:textId="77777777" w:rsidR="002E303D" w:rsidRPr="003E551F" w:rsidRDefault="005B6C28" w:rsidP="003E551F">
            <w:pPr>
              <w:pStyle w:val="Tabletextlarge"/>
              <w:spacing w:after="20"/>
              <w:rPr>
                <w:sz w:val="19"/>
                <w:szCs w:val="19"/>
              </w:rPr>
            </w:pPr>
            <w:r w:rsidRPr="003E551F">
              <w:rPr>
                <w:sz w:val="19"/>
                <w:szCs w:val="19"/>
              </w:rPr>
              <w:t>failing to carry out the duties of a liquidator of a body corporate or otherwise not being a fit and proper person to remain registered as a liquidator of that corporation (liquidator of a specified body corporate)</w:t>
            </w:r>
          </w:p>
        </w:tc>
      </w:tr>
    </w:tbl>
    <w:p w14:paraId="33ED1F28" w14:textId="77777777" w:rsidR="005B6C28" w:rsidRPr="00755D7D" w:rsidRDefault="005B6C28" w:rsidP="00E621BC">
      <w:pPr>
        <w:pStyle w:val="CAR-BodyText-Left"/>
        <w:spacing w:before="240"/>
      </w:pPr>
      <w:r w:rsidRPr="00755D7D">
        <w:t xml:space="preserve">In general CALDB has power to cancel or suspend the registration of a registered auditor or a registered liquidator, if any of these grounds has been established to its satisfaction. </w:t>
      </w:r>
    </w:p>
    <w:p w14:paraId="2AD1153A" w14:textId="77777777" w:rsidR="002E303D" w:rsidRPr="00755D7D" w:rsidRDefault="005B6C28" w:rsidP="00E621BC">
      <w:pPr>
        <w:pStyle w:val="CAR-BodyText-Left"/>
      </w:pPr>
      <w:r w:rsidRPr="00755D7D">
        <w:t>If a ground is established under paragraph 1292(7</w:t>
      </w:r>
      <w:proofErr w:type="gramStart"/>
      <w:r w:rsidRPr="00755D7D">
        <w:t>)(</w:t>
      </w:r>
      <w:proofErr w:type="gramEnd"/>
      <w:r w:rsidRPr="00755D7D">
        <w:t>a) or (b) then CALDB has no discretion but to cancel the registration of the practitioner concerned.</w:t>
      </w:r>
    </w:p>
    <w:p w14:paraId="322827CA" w14:textId="77777777" w:rsidR="005B6C28" w:rsidRPr="00755D7D" w:rsidRDefault="005B6C28" w:rsidP="00E621BC">
      <w:pPr>
        <w:pStyle w:val="CAR-BodyText-Left"/>
      </w:pPr>
      <w:r w:rsidRPr="00755D7D">
        <w:t>In relation to conduct matters under paragraphs 1292(1</w:t>
      </w:r>
      <w:proofErr w:type="gramStart"/>
      <w:r w:rsidRPr="00755D7D">
        <w:t>)(</w:t>
      </w:r>
      <w:proofErr w:type="gramEnd"/>
      <w:r w:rsidRPr="00755D7D">
        <w:t>d), (2)(d) or (3)(d), CALDB has additional powers under subsection 1292(9) to admonish, reprimand or require undertakings. These powers may be exercised in addition to, or instead of, the powers to cancel or suspend registration.</w:t>
      </w:r>
    </w:p>
    <w:p w14:paraId="498B426E" w14:textId="77777777" w:rsidR="005B6C28" w:rsidRPr="00755D7D" w:rsidRDefault="005B6C28" w:rsidP="00E621BC">
      <w:pPr>
        <w:pStyle w:val="CAR-BodyText-Left"/>
      </w:pPr>
      <w:r w:rsidRPr="00755D7D">
        <w:t>Where the registration of a person has been suspended, CALDB may, on an application by the person or of its own motion, by order under s 1295, terminate the suspension.</w:t>
      </w:r>
    </w:p>
    <w:p w14:paraId="7E804BD3" w14:textId="77777777" w:rsidR="005B6C28" w:rsidRPr="00755D7D" w:rsidRDefault="005B6C28" w:rsidP="003E551F">
      <w:pPr>
        <w:pStyle w:val="CAR-BodyText-Left"/>
        <w:spacing w:after="180"/>
      </w:pPr>
      <w:r w:rsidRPr="00755D7D">
        <w:lastRenderedPageBreak/>
        <w:t xml:space="preserve">Section 1294A of the </w:t>
      </w:r>
      <w:r w:rsidR="009D7BF7" w:rsidRPr="00755D7D">
        <w:t>Corporations Act</w:t>
      </w:r>
      <w:r w:rsidRPr="00755D7D">
        <w:t xml:space="preserve"> provides that the Chairperson may</w:t>
      </w:r>
      <w:r w:rsidR="005C1C87" w:rsidRPr="00755D7D">
        <w:t>,</w:t>
      </w:r>
      <w:r w:rsidRPr="00755D7D">
        <w:t xml:space="preserve"> if he considers that it would assist the conduct of the hearing, convene one or more pre</w:t>
      </w:r>
      <w:r w:rsidR="0044339B" w:rsidRPr="00755D7D">
        <w:noBreakHyphen/>
      </w:r>
      <w:r w:rsidRPr="00755D7D">
        <w:t>hearing conferences with the parties. The Chair</w:t>
      </w:r>
      <w:r w:rsidR="00C7672F" w:rsidRPr="00755D7D">
        <w:t>person</w:t>
      </w:r>
      <w:r w:rsidRPr="00755D7D">
        <w:t xml:space="preserve"> uses the pre</w:t>
      </w:r>
      <w:r w:rsidR="0044339B" w:rsidRPr="00755D7D">
        <w:noBreakHyphen/>
      </w:r>
      <w:r w:rsidRPr="00755D7D">
        <w:t>hearing conferences to:</w:t>
      </w:r>
    </w:p>
    <w:p w14:paraId="1AE9E400" w14:textId="77777777" w:rsidR="002E303D" w:rsidRPr="00755D7D" w:rsidRDefault="005B6C28" w:rsidP="003E551F">
      <w:pPr>
        <w:pStyle w:val="CAR-Bullet-1"/>
        <w:spacing w:after="180"/>
      </w:pPr>
      <w:r w:rsidRPr="00755D7D">
        <w:t xml:space="preserve">fix a hearing date </w:t>
      </w:r>
    </w:p>
    <w:p w14:paraId="19DCA1B4" w14:textId="77777777" w:rsidR="002E303D" w:rsidRPr="00755D7D" w:rsidRDefault="005B6C28" w:rsidP="003E551F">
      <w:pPr>
        <w:pStyle w:val="CAR-Bullet-1"/>
        <w:spacing w:after="180"/>
      </w:pPr>
      <w:r w:rsidRPr="00755D7D">
        <w:t xml:space="preserve">give directions about the timing of the filing of evidence and submissions; and </w:t>
      </w:r>
    </w:p>
    <w:p w14:paraId="403437BA" w14:textId="77777777" w:rsidR="002E303D" w:rsidRPr="00755D7D" w:rsidRDefault="005B6C28" w:rsidP="00487C7E">
      <w:pPr>
        <w:pStyle w:val="CAR-Bullet-1"/>
      </w:pPr>
      <w:proofErr w:type="gramStart"/>
      <w:r w:rsidRPr="00755D7D">
        <w:t>give</w:t>
      </w:r>
      <w:proofErr w:type="gramEnd"/>
      <w:r w:rsidRPr="00755D7D">
        <w:t xml:space="preserve"> directions about the procedure to be followed generally at</w:t>
      </w:r>
      <w:r w:rsidR="005C1C87" w:rsidRPr="00755D7D">
        <w:t>,</w:t>
      </w:r>
      <w:r w:rsidRPr="00755D7D">
        <w:t xml:space="preserve"> or in connection with</w:t>
      </w:r>
      <w:r w:rsidR="005C1C87" w:rsidRPr="00755D7D">
        <w:t>,</w:t>
      </w:r>
      <w:r w:rsidRPr="00755D7D">
        <w:t xml:space="preserve"> the hearing.</w:t>
      </w:r>
    </w:p>
    <w:p w14:paraId="2E4AC365" w14:textId="67F8A708" w:rsidR="005B6C28" w:rsidRPr="00755D7D" w:rsidRDefault="005B6C28" w:rsidP="003E551F">
      <w:pPr>
        <w:pStyle w:val="CAR-BodyText-Left"/>
        <w:spacing w:after="180"/>
      </w:pPr>
      <w:r w:rsidRPr="00755D7D">
        <w:t>The Chair</w:t>
      </w:r>
      <w:r w:rsidR="00C7672F" w:rsidRPr="00755D7D">
        <w:t>person</w:t>
      </w:r>
      <w:r w:rsidRPr="00755D7D">
        <w:t xml:space="preserve"> also uses the pre hearing conferences to:</w:t>
      </w:r>
    </w:p>
    <w:p w14:paraId="0536D7F5" w14:textId="77777777" w:rsidR="002E303D" w:rsidRPr="00755D7D" w:rsidRDefault="005B6C28" w:rsidP="003E551F">
      <w:pPr>
        <w:pStyle w:val="CAR-Bullet-1"/>
        <w:spacing w:after="180"/>
      </w:pPr>
      <w:r w:rsidRPr="00755D7D">
        <w:t>refine and reduce the matters in dispute to reduce the length of the hearing and overall costs of the proceedings; and</w:t>
      </w:r>
    </w:p>
    <w:p w14:paraId="24077273" w14:textId="77777777" w:rsidR="002E303D" w:rsidRPr="00755D7D" w:rsidRDefault="005B6C28" w:rsidP="00487C7E">
      <w:pPr>
        <w:pStyle w:val="CAR-Bullet-1"/>
      </w:pPr>
      <w:proofErr w:type="gramStart"/>
      <w:r w:rsidRPr="00755D7D">
        <w:t>resolve</w:t>
      </w:r>
      <w:proofErr w:type="gramEnd"/>
      <w:r w:rsidRPr="00755D7D">
        <w:t xml:space="preserve"> any preliminary matters.</w:t>
      </w:r>
    </w:p>
    <w:p w14:paraId="4CBE7234" w14:textId="77777777" w:rsidR="005B6C28" w:rsidRPr="00755D7D" w:rsidRDefault="005B6C28" w:rsidP="00E621BC">
      <w:pPr>
        <w:pStyle w:val="CAR-BodyText-Left"/>
      </w:pPr>
      <w:r w:rsidRPr="00755D7D">
        <w:t>CALDB</w:t>
      </w:r>
      <w:r w:rsidR="0044339B" w:rsidRPr="00755D7D">
        <w:t>’</w:t>
      </w:r>
      <w:r w:rsidRPr="00755D7D">
        <w:t>s pre</w:t>
      </w:r>
      <w:r w:rsidR="0044339B" w:rsidRPr="00755D7D">
        <w:noBreakHyphen/>
      </w:r>
      <w:r w:rsidRPr="00755D7D">
        <w:t xml:space="preserve">hearing procedures are </w:t>
      </w:r>
      <w:r w:rsidR="009E39AA" w:rsidRPr="00755D7D">
        <w:t xml:space="preserve">regularly </w:t>
      </w:r>
      <w:r w:rsidRPr="00755D7D">
        <w:t>reviewed to ensure that they remain effective and efficient so as to minimise costs and time for all parties.</w:t>
      </w:r>
    </w:p>
    <w:p w14:paraId="41301938" w14:textId="77777777" w:rsidR="005B6C28" w:rsidRPr="00755D7D" w:rsidRDefault="005B6C28" w:rsidP="00E621BC">
      <w:pPr>
        <w:pStyle w:val="CAR-BodyText-Left"/>
      </w:pPr>
      <w:r w:rsidRPr="00755D7D">
        <w:t>Should the parties reach consensus regarding an acceptable outcome they can refer draft agreed terms of order to the CALDB panel. CALDB does not participate in any settlement discussions or negotiations between the parties and retains the right to determine the appropriate orders.</w:t>
      </w:r>
    </w:p>
    <w:p w14:paraId="6D445B7F" w14:textId="77777777" w:rsidR="002E303D" w:rsidRPr="00755D7D" w:rsidRDefault="005B6C28" w:rsidP="003E551F">
      <w:pPr>
        <w:pStyle w:val="Heading3"/>
      </w:pPr>
      <w:bookmarkStart w:id="31" w:name="_Toc395079029"/>
      <w:r w:rsidRPr="003E551F">
        <w:t>Panel</w:t>
      </w:r>
      <w:r w:rsidRPr="00755D7D">
        <w:t xml:space="preserve"> of CALDB members to hear and determine</w:t>
      </w:r>
      <w:r w:rsidR="00487C7E" w:rsidRPr="00755D7D">
        <w:t xml:space="preserve"> matters</w:t>
      </w:r>
      <w:bookmarkEnd w:id="31"/>
    </w:p>
    <w:p w14:paraId="72771563" w14:textId="77777777" w:rsidR="005B6C28" w:rsidRPr="00755D7D" w:rsidRDefault="00BF7B63" w:rsidP="00E621BC">
      <w:pPr>
        <w:pStyle w:val="CAR-BodyText-Left"/>
      </w:pPr>
      <w:r>
        <w:t>As noted, h</w:t>
      </w:r>
      <w:r w:rsidR="005B6C28" w:rsidRPr="00755D7D">
        <w:t>earings are conducted and decisions are made by a panel of members of CALDB</w:t>
      </w:r>
      <w:r w:rsidR="004E088C">
        <w:t xml:space="preserve"> determined by the Chairperson</w:t>
      </w:r>
      <w:r w:rsidR="005B6C28" w:rsidRPr="00755D7D">
        <w:t xml:space="preserve"> (Panel). </w:t>
      </w:r>
    </w:p>
    <w:p w14:paraId="5D7C79B7" w14:textId="77777777" w:rsidR="005B6C28" w:rsidRPr="00755D7D" w:rsidRDefault="005B6C28" w:rsidP="00E621BC">
      <w:pPr>
        <w:pStyle w:val="CAR-BodyText-Left"/>
      </w:pPr>
      <w:r w:rsidRPr="00755D7D">
        <w:t>A Panel must include the Chairperson or Deputy Chairperson as Chairperson of the Panel. Generally, a Panel is constituted by five members</w:t>
      </w:r>
      <w:r w:rsidR="00494F86" w:rsidRPr="00755D7D">
        <w:t xml:space="preserve"> — </w:t>
      </w:r>
      <w:r w:rsidR="009E39AA" w:rsidRPr="00755D7D">
        <w:t xml:space="preserve">including </w:t>
      </w:r>
      <w:r w:rsidRPr="00755D7D">
        <w:t xml:space="preserve">two accounting members and two business members. The Chairperson may consider it appropriate to convene a Panel with three members, in which case one accounting and one business member would be selected. </w:t>
      </w:r>
    </w:p>
    <w:p w14:paraId="0B5639F9" w14:textId="77777777" w:rsidR="005B6C28" w:rsidRPr="00755D7D" w:rsidRDefault="005B6C28" w:rsidP="00E621BC">
      <w:pPr>
        <w:pStyle w:val="CAR-BodyText-Left"/>
      </w:pPr>
      <w:r w:rsidRPr="00755D7D">
        <w:t xml:space="preserve">Matters are heard by a duly constituted Panel </w:t>
      </w:r>
      <w:r w:rsidR="004E088C">
        <w:t>that</w:t>
      </w:r>
      <w:r w:rsidRPr="00755D7D">
        <w:t xml:space="preserve"> will make a determination and decisions as necessary in relation to a particular application.</w:t>
      </w:r>
    </w:p>
    <w:p w14:paraId="05FACCCB" w14:textId="77777777" w:rsidR="005B6C28" w:rsidRPr="00755D7D" w:rsidRDefault="005B6C28" w:rsidP="00E621BC">
      <w:pPr>
        <w:pStyle w:val="CAR-BodyText-Left"/>
      </w:pPr>
      <w:r w:rsidRPr="00755D7D">
        <w:t xml:space="preserve">All matters referred to CALDB (unless subsequently withdrawn by ASIC) must proceed to a hearing following which the Panel will make a determination and orders. Hearings are required to be held in private unless a public hearing is requested by </w:t>
      </w:r>
      <w:r w:rsidR="009E39AA" w:rsidRPr="00755D7D">
        <w:t>the respondent</w:t>
      </w:r>
      <w:r w:rsidRPr="00755D7D">
        <w:t>.</w:t>
      </w:r>
    </w:p>
    <w:p w14:paraId="018F383B" w14:textId="77777777" w:rsidR="005B6C28" w:rsidRPr="00755D7D" w:rsidRDefault="005B6C28" w:rsidP="00E621BC">
      <w:pPr>
        <w:pStyle w:val="CAR-BodyText-Left"/>
      </w:pPr>
      <w:r w:rsidRPr="00755D7D">
        <w:t xml:space="preserve">For contested conduct matters, a Panel will usually hold a hearing with all members and parties physically present. In other matters, the Panel may arrange hearings by </w:t>
      </w:r>
      <w:r w:rsidRPr="00755D7D">
        <w:lastRenderedPageBreak/>
        <w:t xml:space="preserve">video link or telephone link with one or more members or parties in different locations. The </w:t>
      </w:r>
      <w:r w:rsidR="009D7BF7" w:rsidRPr="00755D7D">
        <w:t>ASIC Act</w:t>
      </w:r>
      <w:r w:rsidRPr="00755D7D">
        <w:t xml:space="preserve"> permits legal representation at all hearings, for all parties. Parties may also represent themselves.</w:t>
      </w:r>
    </w:p>
    <w:p w14:paraId="6E6CD08D" w14:textId="77777777" w:rsidR="005B6C28" w:rsidRPr="00755D7D" w:rsidRDefault="005B6C28" w:rsidP="00E621BC">
      <w:pPr>
        <w:pStyle w:val="CAR-BodyText-Left"/>
      </w:pPr>
      <w:r w:rsidRPr="00755D7D">
        <w:t xml:space="preserve">The Panel must determine whether or not it is satisfied that the contentions raised in the application have been established. The Panel provides the parties with a written determination </w:t>
      </w:r>
      <w:r w:rsidR="004E088C">
        <w:t>that</w:t>
      </w:r>
      <w:r w:rsidRPr="00755D7D">
        <w:t xml:space="preserve"> sets out the Panel</w:t>
      </w:r>
      <w:r w:rsidR="0044339B" w:rsidRPr="00755D7D">
        <w:t>’</w:t>
      </w:r>
      <w:r w:rsidRPr="00755D7D">
        <w:t xml:space="preserve">s conclusions (with reasons) on each of the contentions. </w:t>
      </w:r>
    </w:p>
    <w:p w14:paraId="5F899600" w14:textId="77777777" w:rsidR="005B6C28" w:rsidRPr="00755D7D" w:rsidRDefault="004E088C" w:rsidP="00E621BC">
      <w:pPr>
        <w:pStyle w:val="CAR-BodyText-Left"/>
      </w:pPr>
      <w:r>
        <w:t>If the Panel determines a contention is established it must</w:t>
      </w:r>
      <w:r w:rsidR="005B6C28" w:rsidRPr="00755D7D">
        <w:t xml:space="preserve"> decide whether or not to exercise any of CALDB</w:t>
      </w:r>
      <w:r w:rsidR="0044339B" w:rsidRPr="00755D7D">
        <w:t>’</w:t>
      </w:r>
      <w:r w:rsidR="005B6C28" w:rsidRPr="00755D7D">
        <w:t xml:space="preserve">s powers under section 1292 of the </w:t>
      </w:r>
      <w:r w:rsidR="009D7BF7" w:rsidRPr="00755D7D">
        <w:t>Corporations Act</w:t>
      </w:r>
      <w:r w:rsidR="005B6C28" w:rsidRPr="00755D7D">
        <w:t xml:space="preserve"> and/or whether or not it is required to make an order under subsection 1292(7). For that purpose, the Panel may hold a final hearing before delivering its decision. </w:t>
      </w:r>
    </w:p>
    <w:p w14:paraId="3C4C6F11" w14:textId="77777777" w:rsidR="002E303D" w:rsidRDefault="005B6C28" w:rsidP="00E621BC">
      <w:pPr>
        <w:pStyle w:val="CAR-BodyText-Left"/>
      </w:pPr>
      <w:r w:rsidRPr="00755D7D">
        <w:t>At any final hearing, the parties will have an opportunity to present relevant evidence and make submissions on the questions of sanctions, publicity and costs.</w:t>
      </w:r>
    </w:p>
    <w:p w14:paraId="5B4DBCAF" w14:textId="77777777" w:rsidR="00480458" w:rsidRDefault="00480458" w:rsidP="00E621BC">
      <w:pPr>
        <w:pStyle w:val="CAR-BodyText-Left"/>
      </w:pPr>
    </w:p>
    <w:p w14:paraId="504C79CA" w14:textId="77777777" w:rsidR="00480458" w:rsidRDefault="00480458" w:rsidP="00E621BC">
      <w:pPr>
        <w:pStyle w:val="CAR-BodyText-Left"/>
        <w:sectPr w:rsidR="00480458" w:rsidSect="000450F5">
          <w:type w:val="oddPage"/>
          <w:pgSz w:w="11907" w:h="16834" w:code="9"/>
          <w:pgMar w:top="2466" w:right="2098" w:bottom="2466" w:left="2098" w:header="1899" w:footer="1899" w:gutter="0"/>
          <w:cols w:space="720"/>
          <w:docGrid w:linePitch="326"/>
        </w:sectPr>
      </w:pPr>
    </w:p>
    <w:p w14:paraId="20E909A9" w14:textId="77777777" w:rsidR="002E303D" w:rsidRPr="00755D7D" w:rsidRDefault="005B6C28" w:rsidP="003E551F">
      <w:pPr>
        <w:pStyle w:val="AppendixHeading"/>
        <w:spacing w:before="360"/>
      </w:pPr>
      <w:bookmarkStart w:id="32" w:name="_Toc395079030"/>
      <w:r w:rsidRPr="00755D7D">
        <w:lastRenderedPageBreak/>
        <w:t xml:space="preserve">Appendix </w:t>
      </w:r>
      <w:r w:rsidR="002E303D" w:rsidRPr="00755D7D">
        <w:t>2</w:t>
      </w:r>
      <w:bookmarkEnd w:id="32"/>
    </w:p>
    <w:p w14:paraId="2724529E" w14:textId="77777777" w:rsidR="005B6C28" w:rsidRPr="00755D7D" w:rsidRDefault="002E303D" w:rsidP="00E621BC">
      <w:pPr>
        <w:pStyle w:val="Heading2"/>
      </w:pPr>
      <w:bookmarkStart w:id="33" w:name="_Toc395079031"/>
      <w:r w:rsidRPr="00755D7D">
        <w:t xml:space="preserve">Details of </w:t>
      </w:r>
      <w:r w:rsidR="00755D7D" w:rsidRPr="00755D7D">
        <w:t xml:space="preserve">current members </w:t>
      </w:r>
      <w:r w:rsidR="005B6C28" w:rsidRPr="00755D7D">
        <w:t>of the Board</w:t>
      </w:r>
      <w:bookmarkEnd w:id="33"/>
    </w:p>
    <w:p w14:paraId="3782300C" w14:textId="77777777" w:rsidR="005B6C28" w:rsidRPr="004C4E54" w:rsidRDefault="005B6C28" w:rsidP="004C4E54">
      <w:pPr>
        <w:pStyle w:val="CAR-DecisionHead"/>
      </w:pPr>
      <w:r w:rsidRPr="004C4E54">
        <w:t xml:space="preserve">Howard </w:t>
      </w:r>
      <w:proofErr w:type="spellStart"/>
      <w:r w:rsidRPr="004C4E54">
        <w:t>Insall</w:t>
      </w:r>
      <w:proofErr w:type="spellEnd"/>
      <w:r w:rsidR="002E303D" w:rsidRPr="004C4E54">
        <w:t xml:space="preserve"> </w:t>
      </w:r>
      <w:r w:rsidRPr="004C4E54">
        <w:t>SC</w:t>
      </w:r>
    </w:p>
    <w:p w14:paraId="1879FC20" w14:textId="77777777" w:rsidR="005B6C28" w:rsidRPr="00755D7D" w:rsidRDefault="002E303D" w:rsidP="00E621BC">
      <w:pPr>
        <w:pStyle w:val="CAR-BodyText-Left"/>
      </w:pPr>
      <w:r w:rsidRPr="00755D7D">
        <w:t xml:space="preserve">Howard </w:t>
      </w:r>
      <w:proofErr w:type="spellStart"/>
      <w:r w:rsidRPr="00755D7D">
        <w:t>Insall</w:t>
      </w:r>
      <w:proofErr w:type="spellEnd"/>
      <w:r w:rsidRPr="00755D7D">
        <w:t xml:space="preserve"> is a barrister practising at the New South Wales bar. He was called to the bar in 1981 and was appointed senior counsel in 2001. He practises in the field of commercial/equity with particular emphasis on corporations and insolvency law. He has appeared in a number of major cases involving significant corporate collapses and the duties of directors and auditors, and is an author of the Winding Up chapter in the </w:t>
      </w:r>
      <w:proofErr w:type="spellStart"/>
      <w:r w:rsidRPr="00755D7D">
        <w:t>Butterworths</w:t>
      </w:r>
      <w:proofErr w:type="spellEnd"/>
      <w:r w:rsidRPr="00755D7D">
        <w:t xml:space="preserve"> Corporations Service. </w:t>
      </w:r>
    </w:p>
    <w:p w14:paraId="1ACA2135" w14:textId="77777777" w:rsidR="002E303D" w:rsidRPr="004C4E54" w:rsidRDefault="005B6C28" w:rsidP="004C4E54">
      <w:pPr>
        <w:pStyle w:val="CAR-DecisionHead"/>
      </w:pPr>
      <w:r w:rsidRPr="004C4E54">
        <w:t xml:space="preserve">Maria </w:t>
      </w:r>
      <w:proofErr w:type="spellStart"/>
      <w:r w:rsidRPr="004C4E54">
        <w:t>McCrossin</w:t>
      </w:r>
      <w:proofErr w:type="spellEnd"/>
    </w:p>
    <w:p w14:paraId="5768AFF7" w14:textId="77777777" w:rsidR="005B6C28" w:rsidRPr="00755D7D" w:rsidRDefault="002E303D" w:rsidP="00E621BC">
      <w:pPr>
        <w:pStyle w:val="CAR-BodyText-Left"/>
      </w:pPr>
      <w:r w:rsidRPr="00755D7D">
        <w:t xml:space="preserve">Maria </w:t>
      </w:r>
      <w:proofErr w:type="spellStart"/>
      <w:r w:rsidRPr="00755D7D">
        <w:t>McCrossin</w:t>
      </w:r>
      <w:proofErr w:type="spellEnd"/>
      <w:r w:rsidRPr="00755D7D">
        <w:t xml:space="preserve"> is a lawyer with extensive financial services, capital markets and commercial litigation experience. She has held senior roles in private legal practice (Clayton </w:t>
      </w:r>
      <w:proofErr w:type="spellStart"/>
      <w:r w:rsidRPr="00755D7D">
        <w:t>Utz</w:t>
      </w:r>
      <w:proofErr w:type="spellEnd"/>
      <w:r w:rsidRPr="00755D7D">
        <w:t xml:space="preserve">) and within the commercial sector (AMP, ASX, ANZ). Maria is a Fellow of the Australian Institute of Company Directors and a current member of the </w:t>
      </w:r>
      <w:proofErr w:type="spellStart"/>
      <w:r w:rsidRPr="00755D7D">
        <w:t>ChiX</w:t>
      </w:r>
      <w:proofErr w:type="spellEnd"/>
      <w:r w:rsidRPr="00755D7D">
        <w:t xml:space="preserve"> Australia Compliance Panel.</w:t>
      </w:r>
    </w:p>
    <w:p w14:paraId="66337C08" w14:textId="77777777" w:rsidR="002E303D" w:rsidRPr="004C4E54" w:rsidRDefault="005B6C28" w:rsidP="004C4E54">
      <w:pPr>
        <w:pStyle w:val="CAR-DecisionHead"/>
      </w:pPr>
      <w:r w:rsidRPr="004C4E54">
        <w:t xml:space="preserve">Judith </w:t>
      </w:r>
      <w:proofErr w:type="spellStart"/>
      <w:r w:rsidRPr="004C4E54">
        <w:t>Downes</w:t>
      </w:r>
      <w:proofErr w:type="spellEnd"/>
    </w:p>
    <w:p w14:paraId="602A2EEC" w14:textId="77777777" w:rsidR="005B6C28" w:rsidRPr="00755D7D" w:rsidRDefault="002E303D" w:rsidP="00E621BC">
      <w:pPr>
        <w:pStyle w:val="CAR-BodyText-Left"/>
      </w:pPr>
      <w:r w:rsidRPr="00755D7D">
        <w:t xml:space="preserve">Judith </w:t>
      </w:r>
      <w:proofErr w:type="spellStart"/>
      <w:r w:rsidRPr="00755D7D">
        <w:t>Downes</w:t>
      </w:r>
      <w:proofErr w:type="spellEnd"/>
      <w:r w:rsidRPr="00755D7D">
        <w:t xml:space="preserve"> is a non</w:t>
      </w:r>
      <w:r w:rsidR="0044339B" w:rsidRPr="00755D7D">
        <w:noBreakHyphen/>
      </w:r>
      <w:r w:rsidRPr="00755D7D">
        <w:t>executive director with extensive experience in senior finance roles in listed Australian companies, including as chief financial officer. She is a past member of the IFRS Advisory Council and the AASB. Judith is a Fellow of the ICAA, CPA, and AICD, and has an honorary appointment as Fellow at the University of Melbourne.</w:t>
      </w:r>
    </w:p>
    <w:p w14:paraId="4D5702C7" w14:textId="77777777" w:rsidR="002E303D" w:rsidRPr="004C4E54" w:rsidRDefault="005B6C28" w:rsidP="004C4E54">
      <w:pPr>
        <w:pStyle w:val="CAR-DecisionHead"/>
      </w:pPr>
      <w:r w:rsidRPr="004C4E54">
        <w:t>Robert Ferguson</w:t>
      </w:r>
    </w:p>
    <w:p w14:paraId="1E126D7A" w14:textId="77777777" w:rsidR="005B6C28" w:rsidRPr="00755D7D" w:rsidRDefault="002E303D" w:rsidP="00E621BC">
      <w:pPr>
        <w:pStyle w:val="CAR-BodyText-Left"/>
      </w:pPr>
      <w:r w:rsidRPr="00755D7D">
        <w:t>Robert is a Chartered Accountant, Official Liquidator and Registered Trustee in Bankruptcy, specialising in insolvency practice</w:t>
      </w:r>
      <w:r w:rsidR="00494F86" w:rsidRPr="00755D7D">
        <w:t xml:space="preserve">. </w:t>
      </w:r>
      <w:r w:rsidRPr="00755D7D">
        <w:t>Robert</w:t>
      </w:r>
      <w:r w:rsidR="0044339B" w:rsidRPr="00755D7D">
        <w:t>’</w:t>
      </w:r>
      <w:r w:rsidRPr="00755D7D">
        <w:t>s experience includes being an insolvency partner with both PricewaterhouseCoopers and Deloitte for 18 years after which he established his own specialist firm</w:t>
      </w:r>
      <w:r w:rsidR="00494F86" w:rsidRPr="00755D7D">
        <w:t xml:space="preserve">. </w:t>
      </w:r>
      <w:r w:rsidRPr="00755D7D">
        <w:t>Robert has more than 30 years</w:t>
      </w:r>
      <w:r w:rsidR="00755D7D" w:rsidRPr="00755D7D">
        <w:t>’</w:t>
      </w:r>
      <w:r w:rsidRPr="00755D7D">
        <w:t xml:space="preserve"> experience in insolvency practice, is a member of the Australian Restructuring Insolvency &amp;</w:t>
      </w:r>
      <w:r w:rsidR="00021666" w:rsidRPr="00755D7D">
        <w:t xml:space="preserve"> </w:t>
      </w:r>
      <w:r w:rsidRPr="00755D7D">
        <w:t>Turnaround Association (ARITA) and former State Chair and National Board member of that organisation.</w:t>
      </w:r>
    </w:p>
    <w:p w14:paraId="43FEAB59" w14:textId="77777777" w:rsidR="002E303D" w:rsidRPr="004C4E54" w:rsidRDefault="005B6C28" w:rsidP="004C4E54">
      <w:pPr>
        <w:pStyle w:val="CAR-DecisionHead"/>
      </w:pPr>
      <w:r w:rsidRPr="004C4E54">
        <w:t>George Georges</w:t>
      </w:r>
    </w:p>
    <w:p w14:paraId="1C0060DB" w14:textId="77777777" w:rsidR="005B6C28" w:rsidRPr="00755D7D" w:rsidRDefault="002E303D" w:rsidP="00E621BC">
      <w:pPr>
        <w:pStyle w:val="CAR-BodyText-Left"/>
      </w:pPr>
      <w:r w:rsidRPr="00755D7D">
        <w:t>George Georges is a partner of Ferrier Hodgson in Melbourne. George has over 20 years</w:t>
      </w:r>
      <w:r w:rsidR="00755D7D" w:rsidRPr="00755D7D">
        <w:t>’</w:t>
      </w:r>
      <w:r w:rsidRPr="00755D7D">
        <w:t xml:space="preserve"> experience specialising in corporate recovery assignments. He is a Chartered Accountant, a member of the Institute of Public Accountants (IPA) and the Australian Restructuring Insolvency &amp;</w:t>
      </w:r>
      <w:r w:rsidR="00021666" w:rsidRPr="00755D7D">
        <w:t xml:space="preserve"> </w:t>
      </w:r>
      <w:r w:rsidRPr="00755D7D">
        <w:t>Turnaround Association (ARITA) as well as being a Fellow of the Financial Services Institute of Australia (FINSIA).</w:t>
      </w:r>
    </w:p>
    <w:p w14:paraId="55907E22" w14:textId="77777777" w:rsidR="002E303D" w:rsidRPr="004C4E54" w:rsidRDefault="005B6C28" w:rsidP="004C4E54">
      <w:pPr>
        <w:pStyle w:val="CAR-DecisionHead"/>
      </w:pPr>
      <w:r w:rsidRPr="004C4E54">
        <w:lastRenderedPageBreak/>
        <w:t>Bruce Gleeson</w:t>
      </w:r>
    </w:p>
    <w:p w14:paraId="2343D09F" w14:textId="77777777" w:rsidR="005B6C28" w:rsidRPr="00755D7D" w:rsidRDefault="002E303D" w:rsidP="00487C7E">
      <w:pPr>
        <w:pStyle w:val="CAR-BodyText-Left"/>
      </w:pPr>
      <w:r w:rsidRPr="00755D7D">
        <w:t>Bruce Gleeson is a principal at Jones Partners Chartered Accountants, a specialist insolvency and business recovery firm. He is a Chartered Accountant, a member of CPA Australia and the Australian Restructuring Insolvency &amp;</w:t>
      </w:r>
      <w:r w:rsidR="00021666" w:rsidRPr="00755D7D">
        <w:t xml:space="preserve"> </w:t>
      </w:r>
      <w:r w:rsidRPr="00755D7D">
        <w:t xml:space="preserve">Turnaround Association (ARITA). Bruce has in excess of 15 years corporate and personal insolvency experience and is an Official Liquidator and a Registered Trustee in Bankruptcy. He has recently been on the NSW State Council of the Institute of Chartered Accountants (ICAA), being the Chair in 2010, as well as being the 2010 Junior Vice President of the Western Sydney Business Connection. Bruce has also held roles in commerce (with James </w:t>
      </w:r>
      <w:proofErr w:type="spellStart"/>
      <w:r w:rsidRPr="00755D7D">
        <w:t>Hardie</w:t>
      </w:r>
      <w:proofErr w:type="spellEnd"/>
      <w:r w:rsidRPr="00755D7D">
        <w:t xml:space="preserve"> and AMP) to broaden his experience.</w:t>
      </w:r>
    </w:p>
    <w:p w14:paraId="7BA7174F" w14:textId="2A54CF47" w:rsidR="002E303D" w:rsidRPr="00755D7D" w:rsidRDefault="005B6C28" w:rsidP="004C4E54">
      <w:pPr>
        <w:pStyle w:val="CAR-DecisionHead"/>
      </w:pPr>
      <w:r w:rsidRPr="00755D7D">
        <w:t>David Sauer</w:t>
      </w:r>
    </w:p>
    <w:p w14:paraId="543630B4" w14:textId="77777777" w:rsidR="005B6C28" w:rsidRPr="00755D7D" w:rsidRDefault="002E303D" w:rsidP="00E621BC">
      <w:pPr>
        <w:pStyle w:val="CAR-BodyText-Left"/>
      </w:pPr>
      <w:r w:rsidRPr="00755D7D">
        <w:t>David Sauer is a Chartered Accountant and Registered Company Auditor, specialising in professional standards</w:t>
      </w:r>
      <w:r w:rsidR="00494F86" w:rsidRPr="00755D7D">
        <w:t xml:space="preserve"> — </w:t>
      </w:r>
      <w:r w:rsidRPr="00755D7D">
        <w:t>financial reporting, assurance and ethics. He provides professional education for accountants and independent advice on the application of standards in transactions, commercial disputes and regulatory compliance. He has worked in public practice since 1983 and now assists mid</w:t>
      </w:r>
      <w:r w:rsidR="0044339B" w:rsidRPr="00755D7D">
        <w:noBreakHyphen/>
      </w:r>
      <w:r w:rsidRPr="00755D7D">
        <w:t>tier and smaller accounting firms to develop and monitor their quality assurance and audit policies and procedures. David was a member of the Institute of Public Accountants</w:t>
      </w:r>
      <w:r w:rsidR="0044339B" w:rsidRPr="00755D7D">
        <w:t>’</w:t>
      </w:r>
      <w:r w:rsidRPr="00755D7D">
        <w:t xml:space="preserve"> Legislation and Standards Committee from 2000 to 2009. </w:t>
      </w:r>
    </w:p>
    <w:p w14:paraId="3DF73EBC" w14:textId="77777777" w:rsidR="002E303D" w:rsidRPr="004C4E54" w:rsidRDefault="005B6C28" w:rsidP="004C4E54">
      <w:pPr>
        <w:pStyle w:val="CAR-DecisionHead"/>
      </w:pPr>
      <w:r w:rsidRPr="004C4E54">
        <w:t xml:space="preserve">Eric </w:t>
      </w:r>
      <w:proofErr w:type="spellStart"/>
      <w:r w:rsidRPr="004C4E54">
        <w:t>Passaris</w:t>
      </w:r>
      <w:proofErr w:type="spellEnd"/>
    </w:p>
    <w:p w14:paraId="512E87DD" w14:textId="77777777" w:rsidR="005B6C28" w:rsidRPr="00755D7D" w:rsidRDefault="002E303D" w:rsidP="00E621BC">
      <w:pPr>
        <w:pStyle w:val="CAR-BodyText-Left"/>
      </w:pPr>
      <w:r w:rsidRPr="00755D7D">
        <w:t xml:space="preserve">Eric </w:t>
      </w:r>
      <w:proofErr w:type="spellStart"/>
      <w:r w:rsidRPr="00755D7D">
        <w:t>Passaris</w:t>
      </w:r>
      <w:proofErr w:type="spellEnd"/>
      <w:r w:rsidRPr="00755D7D">
        <w:t xml:space="preserve"> is a partner with Grant Thornton in Melbourne and has specialised in audit and assurance services for over 25 years. Eric is a registered company auditor and a member of ICAA and CPA Australia</w:t>
      </w:r>
      <w:r w:rsidR="00494F86" w:rsidRPr="00755D7D">
        <w:t xml:space="preserve">. </w:t>
      </w:r>
      <w:r w:rsidRPr="00755D7D">
        <w:t>He is a member of CPA Australia</w:t>
      </w:r>
      <w:r w:rsidR="0044339B" w:rsidRPr="00755D7D">
        <w:t>’</w:t>
      </w:r>
      <w:r w:rsidRPr="00755D7D">
        <w:t>s Disciplinary Committee and is called upon to provide expert evidence in auditor/accountant professional negligence cases for legal proceedings, commercial disputes, insurance claims and disciplinary proceedings.</w:t>
      </w:r>
    </w:p>
    <w:p w14:paraId="011F13C3" w14:textId="77777777" w:rsidR="002E303D" w:rsidRPr="004C4E54" w:rsidRDefault="005B6C28" w:rsidP="004C4E54">
      <w:pPr>
        <w:pStyle w:val="CAR-DecisionHead"/>
      </w:pPr>
      <w:r w:rsidRPr="004C4E54">
        <w:t xml:space="preserve">Geoff </w:t>
      </w:r>
      <w:proofErr w:type="spellStart"/>
      <w:r w:rsidRPr="004C4E54">
        <w:t>Brayshaw</w:t>
      </w:r>
      <w:proofErr w:type="spellEnd"/>
    </w:p>
    <w:p w14:paraId="2045D797" w14:textId="77777777" w:rsidR="005B6C28" w:rsidRPr="00755D7D" w:rsidRDefault="002E303D" w:rsidP="00E621BC">
      <w:pPr>
        <w:pStyle w:val="CAR-BodyText-Left"/>
      </w:pPr>
      <w:r w:rsidRPr="00755D7D">
        <w:t xml:space="preserve">Geoff </w:t>
      </w:r>
      <w:proofErr w:type="spellStart"/>
      <w:r w:rsidRPr="00755D7D">
        <w:t>Brayshaw</w:t>
      </w:r>
      <w:proofErr w:type="spellEnd"/>
      <w:r w:rsidRPr="00755D7D">
        <w:t xml:space="preserve"> is a Chartered Accountant and company director. He has spent 35 years in the accounting profession and was a former audit partner and managing partner of the Perth practice of BDO, retiring from public practice in 2005. He now has a number of directorship roles including non</w:t>
      </w:r>
      <w:r w:rsidR="0044339B" w:rsidRPr="00755D7D">
        <w:noBreakHyphen/>
      </w:r>
      <w:r w:rsidRPr="00755D7D">
        <w:t>executive director and Chairperson of Poseidon Nickel Limited, and formerly a non</w:t>
      </w:r>
      <w:r w:rsidR="0044339B" w:rsidRPr="00755D7D">
        <w:noBreakHyphen/>
      </w:r>
      <w:r w:rsidRPr="00755D7D">
        <w:t xml:space="preserve">executive director and Chairperson of the audit committee of Fortescue Metals Group Limited and AVEA Insurance Limited. He is a former board member of the Small Business Development Corporation in Western Australia. He was formerly Chairperson of </w:t>
      </w:r>
      <w:proofErr w:type="spellStart"/>
      <w:r w:rsidRPr="00755D7D">
        <w:t>Gumala</w:t>
      </w:r>
      <w:proofErr w:type="spellEnd"/>
      <w:r w:rsidRPr="00755D7D">
        <w:t xml:space="preserve"> Investments Pty Ltd, an Aboriginal corporation trustee company. He was National President of the ICAA in Australia for 2002 and was made a Member of the Order of Australia in 2007.</w:t>
      </w:r>
    </w:p>
    <w:p w14:paraId="326C74BA" w14:textId="77777777" w:rsidR="002E303D" w:rsidRPr="004C4E54" w:rsidRDefault="005B6C28" w:rsidP="004C4E54">
      <w:pPr>
        <w:pStyle w:val="CAR-DecisionHead"/>
      </w:pPr>
      <w:r w:rsidRPr="004C4E54">
        <w:lastRenderedPageBreak/>
        <w:t xml:space="preserve">Karen </w:t>
      </w:r>
      <w:proofErr w:type="spellStart"/>
      <w:r w:rsidRPr="004C4E54">
        <w:t>O</w:t>
      </w:r>
      <w:r w:rsidR="0044339B" w:rsidRPr="004C4E54">
        <w:t>’</w:t>
      </w:r>
      <w:r w:rsidRPr="004C4E54">
        <w:t>Flynn</w:t>
      </w:r>
      <w:proofErr w:type="spellEnd"/>
    </w:p>
    <w:p w14:paraId="05C6E3BF" w14:textId="77777777" w:rsidR="002E303D" w:rsidRDefault="002E303D" w:rsidP="003E551F">
      <w:pPr>
        <w:pStyle w:val="CAR-BodyText-Left"/>
        <w:keepLines/>
      </w:pPr>
      <w:r w:rsidRPr="00755D7D">
        <w:t xml:space="preserve">Karen </w:t>
      </w:r>
      <w:proofErr w:type="spellStart"/>
      <w:r w:rsidRPr="00755D7D">
        <w:t>O</w:t>
      </w:r>
      <w:r w:rsidR="0044339B" w:rsidRPr="00755D7D">
        <w:t>’</w:t>
      </w:r>
      <w:r w:rsidRPr="00755D7D">
        <w:t>Flynn</w:t>
      </w:r>
      <w:proofErr w:type="spellEnd"/>
      <w:r w:rsidRPr="00755D7D">
        <w:t xml:space="preserve"> is a Partner of Clayton </w:t>
      </w:r>
      <w:proofErr w:type="spellStart"/>
      <w:r w:rsidRPr="00755D7D">
        <w:t>Utz</w:t>
      </w:r>
      <w:proofErr w:type="spellEnd"/>
      <w:r w:rsidRPr="00755D7D">
        <w:t xml:space="preserve"> and leads that firm</w:t>
      </w:r>
      <w:r w:rsidR="0044339B" w:rsidRPr="00755D7D">
        <w:t>’</w:t>
      </w:r>
      <w:r w:rsidRPr="00755D7D">
        <w:t xml:space="preserve">s restructuring and insolvency practice. Karen is a member of the Clayton </w:t>
      </w:r>
      <w:proofErr w:type="spellStart"/>
      <w:r w:rsidRPr="00755D7D">
        <w:t>Utz</w:t>
      </w:r>
      <w:proofErr w:type="spellEnd"/>
      <w:r w:rsidRPr="00755D7D">
        <w:t xml:space="preserve"> board, Vice</w:t>
      </w:r>
      <w:r w:rsidR="0044339B" w:rsidRPr="00755D7D">
        <w:noBreakHyphen/>
      </w:r>
      <w:r w:rsidRPr="00755D7D">
        <w:t xml:space="preserve">Chair of the Insolvency Section of the International Bar Association and a member of the International Insolvency Institute. </w:t>
      </w:r>
    </w:p>
    <w:p w14:paraId="3A1BBBE4" w14:textId="77777777" w:rsidR="00193CDA" w:rsidRPr="00755D7D" w:rsidRDefault="00193CDA" w:rsidP="00E621BC">
      <w:pPr>
        <w:pStyle w:val="CAR-BodyText-Left"/>
      </w:pPr>
    </w:p>
    <w:p w14:paraId="5503DD13" w14:textId="77777777" w:rsidR="00193CDA" w:rsidRDefault="00193CDA" w:rsidP="00E621BC">
      <w:pPr>
        <w:pStyle w:val="CAR-BodyText-Left"/>
        <w:sectPr w:rsidR="00193CDA" w:rsidSect="000450F5">
          <w:type w:val="oddPage"/>
          <w:pgSz w:w="11907" w:h="16834" w:code="9"/>
          <w:pgMar w:top="2466" w:right="2098" w:bottom="2466" w:left="2098" w:header="1899" w:footer="1899" w:gutter="0"/>
          <w:cols w:space="720"/>
          <w:docGrid w:linePitch="326"/>
        </w:sectPr>
      </w:pPr>
    </w:p>
    <w:p w14:paraId="10450FD3" w14:textId="77777777" w:rsidR="002E303D" w:rsidRPr="00755D7D" w:rsidRDefault="005B6C28" w:rsidP="003E551F">
      <w:pPr>
        <w:pStyle w:val="AppendixHeading"/>
        <w:spacing w:before="240" w:after="240"/>
      </w:pPr>
      <w:bookmarkStart w:id="34" w:name="_Toc395079032"/>
      <w:r w:rsidRPr="00755D7D">
        <w:lastRenderedPageBreak/>
        <w:t>Appendix 3</w:t>
      </w:r>
      <w:bookmarkEnd w:id="34"/>
    </w:p>
    <w:p w14:paraId="447CD709" w14:textId="77777777" w:rsidR="005B6C28" w:rsidRPr="00755D7D" w:rsidRDefault="005776E2" w:rsidP="00E621BC">
      <w:pPr>
        <w:pStyle w:val="Heading2"/>
      </w:pPr>
      <w:bookmarkStart w:id="35" w:name="_Toc395079033"/>
      <w:r w:rsidRPr="00755D7D">
        <w:t>Decisions g</w:t>
      </w:r>
      <w:r w:rsidR="005B6C28" w:rsidRPr="00755D7D">
        <w:t>azetted during the year ended 30 June 2014</w:t>
      </w:r>
      <w:r w:rsidR="009D7BF7" w:rsidRPr="00755D7D">
        <w:rPr>
          <w:rStyle w:val="FootnoteReference"/>
          <w:b w:val="0"/>
        </w:rPr>
        <w:footnoteReference w:id="2"/>
      </w:r>
      <w:bookmarkEnd w:id="35"/>
    </w:p>
    <w:p w14:paraId="045255C1" w14:textId="77777777" w:rsidR="005B6C28" w:rsidRPr="00755D7D" w:rsidRDefault="005B6C28" w:rsidP="004C4E54">
      <w:pPr>
        <w:pStyle w:val="CAR-DecisionHead"/>
      </w:pPr>
      <w:r w:rsidRPr="004C4E54">
        <w:t>Mark</w:t>
      </w:r>
      <w:r w:rsidRPr="00755D7D">
        <w:t xml:space="preserve"> Darren LEVI</w:t>
      </w:r>
    </w:p>
    <w:p w14:paraId="65B08CA7" w14:textId="77777777" w:rsidR="002E303D" w:rsidRPr="004C4E54" w:rsidRDefault="002E303D" w:rsidP="003E551F">
      <w:pPr>
        <w:pStyle w:val="CAR-BodyText-Left"/>
        <w:spacing w:after="60"/>
        <w:rPr>
          <w:bCs/>
          <w:i/>
        </w:rPr>
      </w:pPr>
      <w:r w:rsidRPr="004C4E54">
        <w:rPr>
          <w:i/>
        </w:rPr>
        <w:t>Corporations Act 2001</w:t>
      </w:r>
    </w:p>
    <w:p w14:paraId="4110BDB5" w14:textId="77777777" w:rsidR="002E303D" w:rsidRPr="00755D7D" w:rsidRDefault="002E303D" w:rsidP="003E551F">
      <w:pPr>
        <w:pStyle w:val="CAR-BodyText-Left"/>
        <w:spacing w:after="60"/>
      </w:pPr>
      <w:r w:rsidRPr="00755D7D">
        <w:t>SECTION 1296(1</w:t>
      </w:r>
      <w:proofErr w:type="gramStart"/>
      <w:r w:rsidRPr="00755D7D">
        <w:t>)(</w:t>
      </w:r>
      <w:proofErr w:type="gramEnd"/>
      <w:r w:rsidRPr="00755D7D">
        <w:t>c)</w:t>
      </w:r>
    </w:p>
    <w:p w14:paraId="3A4A96D4" w14:textId="77777777" w:rsidR="002E303D" w:rsidRPr="00755D7D" w:rsidRDefault="002E303D" w:rsidP="00E8224D">
      <w:pPr>
        <w:pStyle w:val="CAR-BodyText-Left"/>
        <w:spacing w:after="180"/>
      </w:pPr>
      <w:r w:rsidRPr="00755D7D">
        <w:t>NOTICE OF DECISION</w:t>
      </w:r>
    </w:p>
    <w:p w14:paraId="5A892732" w14:textId="77777777" w:rsidR="005B6C28" w:rsidRPr="00755D7D" w:rsidRDefault="002E303D" w:rsidP="00E8224D">
      <w:pPr>
        <w:pStyle w:val="CAR-BodyText-Left"/>
        <w:spacing w:after="180"/>
      </w:pPr>
      <w:r w:rsidRPr="00755D7D">
        <w:t xml:space="preserve">At a hearing held pursuant to section 1294 of the </w:t>
      </w:r>
      <w:r w:rsidRPr="000E175C">
        <w:rPr>
          <w:i/>
        </w:rPr>
        <w:t>Corporations Act 2001</w:t>
      </w:r>
      <w:r w:rsidRPr="00755D7D">
        <w:t xml:space="preserve"> (</w:t>
      </w:r>
      <w:r w:rsidR="0044339B" w:rsidRPr="00755D7D">
        <w:t>“</w:t>
      </w:r>
      <w:r w:rsidRPr="00755D7D">
        <w:t>Act</w:t>
      </w:r>
      <w:r w:rsidR="0044339B" w:rsidRPr="00755D7D">
        <w:t>”</w:t>
      </w:r>
      <w:r w:rsidRPr="00755D7D">
        <w:t xml:space="preserve">), commencing on 6 May 2013 a Panel of the Companies Auditors and Liquidators Disciplinary Board decided that it was satisfied, on an application by the Australian Securities and Investments Commission that </w:t>
      </w:r>
      <w:r w:rsidRPr="00755D7D">
        <w:rPr>
          <w:b/>
          <w:bCs/>
        </w:rPr>
        <w:t xml:space="preserve">Mark Darren LEVI </w:t>
      </w:r>
      <w:r w:rsidRPr="00755D7D">
        <w:t>(</w:t>
      </w:r>
      <w:r w:rsidR="0044339B" w:rsidRPr="00755D7D">
        <w:t>“</w:t>
      </w:r>
      <w:r w:rsidRPr="00755D7D">
        <w:t>Respondent</w:t>
      </w:r>
      <w:r w:rsidR="0044339B" w:rsidRPr="00755D7D">
        <w:t>”</w:t>
      </w:r>
      <w:r w:rsidRPr="00755D7D">
        <w:t>), a registered liquidator, was not a fit and proper person to remain registered as a liquidator and decided on 2 July 2013 to exercise its powers under section 1292 of the Act by ordering that the Respondent</w:t>
      </w:r>
      <w:r w:rsidR="0044339B" w:rsidRPr="00755D7D">
        <w:t>’</w:t>
      </w:r>
      <w:r w:rsidRPr="00755D7D">
        <w:t>s registration as a liquidator be cancelled with effect 28 days after the date of the decision</w:t>
      </w:r>
      <w:r w:rsidR="00494F86" w:rsidRPr="00755D7D">
        <w:t xml:space="preserve">. </w:t>
      </w:r>
    </w:p>
    <w:p w14:paraId="5AB17D62" w14:textId="77777777" w:rsidR="002E303D" w:rsidRPr="00755D7D" w:rsidRDefault="005B6C28" w:rsidP="004C4E54">
      <w:pPr>
        <w:pStyle w:val="CAR-BodyText-Left"/>
      </w:pPr>
      <w:r w:rsidRPr="00755D7D">
        <w:t>Dated:</w:t>
      </w:r>
      <w:r w:rsidRPr="00755D7D">
        <w:tab/>
      </w:r>
      <w:r w:rsidR="009E39AA" w:rsidRPr="00755D7D">
        <w:t xml:space="preserve"> </w:t>
      </w:r>
      <w:r w:rsidRPr="00755D7D">
        <w:t>22 August 2013</w:t>
      </w:r>
      <w:r w:rsidR="004C4E54">
        <w:br/>
      </w:r>
      <w:r w:rsidRPr="00755D7D">
        <w:rPr>
          <w:bCs/>
        </w:rPr>
        <w:t>Gary K Hoare</w:t>
      </w:r>
      <w:r w:rsidR="004C4E54">
        <w:rPr>
          <w:bCs/>
        </w:rPr>
        <w:br/>
      </w:r>
      <w:r w:rsidR="002E303D" w:rsidRPr="00755D7D">
        <w:t>Registrar</w:t>
      </w:r>
    </w:p>
    <w:p w14:paraId="6623F8BC" w14:textId="77777777" w:rsidR="005B6C28" w:rsidRPr="00755D7D" w:rsidRDefault="005B6C28" w:rsidP="004C4E54">
      <w:pPr>
        <w:pStyle w:val="CAR-DecisionHead"/>
        <w:spacing w:before="360"/>
      </w:pPr>
      <w:proofErr w:type="spellStart"/>
      <w:r w:rsidRPr="004C4E54">
        <w:t>Avitus</w:t>
      </w:r>
      <w:proofErr w:type="spellEnd"/>
      <w:r w:rsidRPr="00755D7D">
        <w:t xml:space="preserve"> Thomas FERNANDEZ</w:t>
      </w:r>
    </w:p>
    <w:p w14:paraId="0D0A1FDD" w14:textId="77777777" w:rsidR="002E303D" w:rsidRPr="004C4E54" w:rsidRDefault="002E303D" w:rsidP="003E551F">
      <w:pPr>
        <w:pStyle w:val="CAR-BodyText-Left"/>
        <w:spacing w:after="60"/>
        <w:rPr>
          <w:i/>
        </w:rPr>
      </w:pPr>
      <w:r w:rsidRPr="004C4E54">
        <w:rPr>
          <w:i/>
        </w:rPr>
        <w:t xml:space="preserve">Corporations Act 2001 </w:t>
      </w:r>
    </w:p>
    <w:p w14:paraId="58751369" w14:textId="77777777" w:rsidR="002E303D" w:rsidRPr="00755D7D" w:rsidRDefault="002E303D" w:rsidP="003E551F">
      <w:pPr>
        <w:pStyle w:val="CAR-BodyText-Left"/>
        <w:spacing w:after="60"/>
      </w:pPr>
      <w:r w:rsidRPr="00755D7D">
        <w:t>SECTION 1296(1</w:t>
      </w:r>
      <w:proofErr w:type="gramStart"/>
      <w:r w:rsidRPr="00755D7D">
        <w:t>)(</w:t>
      </w:r>
      <w:proofErr w:type="gramEnd"/>
      <w:r w:rsidRPr="00755D7D">
        <w:t xml:space="preserve">c) </w:t>
      </w:r>
    </w:p>
    <w:p w14:paraId="1E7690D8" w14:textId="77777777" w:rsidR="002E303D" w:rsidRPr="00755D7D" w:rsidRDefault="002E303D" w:rsidP="00E8224D">
      <w:pPr>
        <w:pStyle w:val="CAR-BodyText-Left"/>
        <w:spacing w:after="180"/>
      </w:pPr>
      <w:r w:rsidRPr="00755D7D">
        <w:t xml:space="preserve">NOTICE OF DECISION </w:t>
      </w:r>
    </w:p>
    <w:p w14:paraId="459F5EF3" w14:textId="77777777" w:rsidR="005B6C28" w:rsidRPr="00755D7D" w:rsidRDefault="002E303D" w:rsidP="00E8224D">
      <w:pPr>
        <w:pStyle w:val="CAR-BodyText-Left"/>
        <w:spacing w:after="180"/>
      </w:pPr>
      <w:r w:rsidRPr="00755D7D">
        <w:t xml:space="preserve">At a hearing held pursuant to section 1294 of the </w:t>
      </w:r>
      <w:r w:rsidRPr="000E175C">
        <w:rPr>
          <w:i/>
        </w:rPr>
        <w:t>Corporations Act 2001</w:t>
      </w:r>
      <w:r w:rsidRPr="00755D7D">
        <w:t xml:space="preserve"> (</w:t>
      </w:r>
      <w:r w:rsidR="00A72D17">
        <w:t>“</w:t>
      </w:r>
      <w:r w:rsidRPr="00755D7D">
        <w:t>Act</w:t>
      </w:r>
      <w:r w:rsidR="00A72D17">
        <w:t>”</w:t>
      </w:r>
      <w:r w:rsidRPr="00755D7D">
        <w:t xml:space="preserve">), commencing on 2 July 2013 a Panel of the Companies Auditors and Liquidators Disciplinary Board decided that it was satisfied, on an application by the Australian Securities and Investments Commission that </w:t>
      </w:r>
      <w:proofErr w:type="spellStart"/>
      <w:r w:rsidRPr="00755D7D">
        <w:rPr>
          <w:b/>
          <w:bCs/>
        </w:rPr>
        <w:t>Avitus</w:t>
      </w:r>
      <w:proofErr w:type="spellEnd"/>
      <w:r w:rsidRPr="00755D7D">
        <w:rPr>
          <w:b/>
          <w:bCs/>
        </w:rPr>
        <w:t xml:space="preserve"> Thomas FERNANDEZ </w:t>
      </w:r>
      <w:r w:rsidRPr="00755D7D">
        <w:t>(</w:t>
      </w:r>
      <w:r w:rsidR="0044339B" w:rsidRPr="00755D7D">
        <w:t>“</w:t>
      </w:r>
      <w:r w:rsidRPr="00755D7D">
        <w:t>Respondent</w:t>
      </w:r>
      <w:r w:rsidR="0044339B" w:rsidRPr="00755D7D">
        <w:t>”</w:t>
      </w:r>
      <w:r w:rsidRPr="00755D7D">
        <w:t>), a registered liquidator, had failed to carry out or perform adequately and properly duties or functions required by an Australian law to be carried out or performed by a registered liquidator and that the Respondent was not a fit and proper person to remain registered as a liquidator and decided on 29 October 2013 to exercise its powers under section</w:t>
      </w:r>
      <w:r w:rsidR="000E175C">
        <w:t> </w:t>
      </w:r>
      <w:r w:rsidRPr="00755D7D">
        <w:t>1292 of the Act by ordering that the Respondent</w:t>
      </w:r>
      <w:r w:rsidR="0044339B" w:rsidRPr="00755D7D">
        <w:t>’</w:t>
      </w:r>
      <w:r w:rsidRPr="00755D7D">
        <w:t xml:space="preserve">s registration as a liquidator be cancelled with effect 30 days after the date of the decision. </w:t>
      </w:r>
    </w:p>
    <w:p w14:paraId="0E0A57C3" w14:textId="77777777" w:rsidR="002E303D" w:rsidRPr="00755D7D" w:rsidRDefault="005B6C28" w:rsidP="003E551F">
      <w:pPr>
        <w:pStyle w:val="CAR-BodyText-Left"/>
        <w:spacing w:after="0"/>
      </w:pPr>
      <w:r w:rsidRPr="00755D7D">
        <w:rPr>
          <w:bCs/>
        </w:rPr>
        <w:t xml:space="preserve">Dated: 29 October 2013 </w:t>
      </w:r>
      <w:r w:rsidR="004C4E54">
        <w:rPr>
          <w:bCs/>
        </w:rPr>
        <w:br/>
      </w:r>
      <w:r w:rsidRPr="00755D7D">
        <w:rPr>
          <w:bCs/>
        </w:rPr>
        <w:t xml:space="preserve">Gary K Hoare </w:t>
      </w:r>
      <w:r w:rsidR="004C4E54">
        <w:rPr>
          <w:bCs/>
        </w:rPr>
        <w:br/>
      </w:r>
      <w:r w:rsidR="002E303D" w:rsidRPr="00755D7D">
        <w:t xml:space="preserve">Registrar </w:t>
      </w:r>
    </w:p>
    <w:p w14:paraId="3DD59241" w14:textId="77777777" w:rsidR="005B6C28" w:rsidRPr="004C4E54" w:rsidRDefault="00487C7E" w:rsidP="004C4E54">
      <w:pPr>
        <w:pStyle w:val="CAR-DecisionHead"/>
      </w:pPr>
      <w:r w:rsidRPr="00755D7D">
        <w:br w:type="page"/>
      </w:r>
      <w:r w:rsidR="005B6C28" w:rsidRPr="004C4E54">
        <w:lastRenderedPageBreak/>
        <w:t>Wayne John WESSELS</w:t>
      </w:r>
    </w:p>
    <w:p w14:paraId="4558AD37" w14:textId="77777777" w:rsidR="002E303D" w:rsidRPr="004C4E54" w:rsidRDefault="002E303D" w:rsidP="00E8224D">
      <w:pPr>
        <w:pStyle w:val="CAR-BodyText-Left"/>
        <w:spacing w:after="60"/>
        <w:rPr>
          <w:bCs/>
          <w:i/>
        </w:rPr>
      </w:pPr>
      <w:r w:rsidRPr="004C4E54">
        <w:rPr>
          <w:i/>
        </w:rPr>
        <w:t>Corporations Act 2001</w:t>
      </w:r>
    </w:p>
    <w:p w14:paraId="75F9FC81" w14:textId="77777777" w:rsidR="002E303D" w:rsidRPr="00755D7D" w:rsidRDefault="002E303D" w:rsidP="00E8224D">
      <w:pPr>
        <w:pStyle w:val="CAR-BodyText-Left"/>
        <w:spacing w:after="60"/>
      </w:pPr>
      <w:r w:rsidRPr="00755D7D">
        <w:t>SECTION 1296(1</w:t>
      </w:r>
      <w:proofErr w:type="gramStart"/>
      <w:r w:rsidRPr="00755D7D">
        <w:t>)(</w:t>
      </w:r>
      <w:proofErr w:type="gramEnd"/>
      <w:r w:rsidRPr="00755D7D">
        <w:t>c)</w:t>
      </w:r>
    </w:p>
    <w:p w14:paraId="1258E5CA" w14:textId="77777777" w:rsidR="002E303D" w:rsidRPr="00755D7D" w:rsidRDefault="002E303D" w:rsidP="004C4E54">
      <w:pPr>
        <w:pStyle w:val="CAR-BodyText-Left"/>
      </w:pPr>
      <w:r w:rsidRPr="00755D7D">
        <w:t>NOTICE OF DECISION</w:t>
      </w:r>
    </w:p>
    <w:p w14:paraId="777432B2" w14:textId="77777777" w:rsidR="005B6C28" w:rsidRPr="00755D7D" w:rsidRDefault="002E303D" w:rsidP="004C4E54">
      <w:pPr>
        <w:pStyle w:val="CAR-BodyText-Left"/>
      </w:pPr>
      <w:r w:rsidRPr="00755D7D">
        <w:t xml:space="preserve">At a hearing held pursuant to section 1294 of the </w:t>
      </w:r>
      <w:r w:rsidRPr="000E175C">
        <w:rPr>
          <w:i/>
        </w:rPr>
        <w:t>Corporations Act 2001</w:t>
      </w:r>
      <w:r w:rsidRPr="00755D7D">
        <w:t xml:space="preserve"> (</w:t>
      </w:r>
      <w:r w:rsidR="0044339B" w:rsidRPr="00755D7D">
        <w:t>“</w:t>
      </w:r>
      <w:r w:rsidRPr="00755D7D">
        <w:t>Act</w:t>
      </w:r>
      <w:r w:rsidR="0044339B" w:rsidRPr="00755D7D">
        <w:t>”</w:t>
      </w:r>
      <w:r w:rsidR="004C4E54">
        <w:t>), commencing on 25 </w:t>
      </w:r>
      <w:r w:rsidRPr="00755D7D">
        <w:t xml:space="preserve">October 2013 a Panel of the Companies Auditors and Liquidators Disciplinary Board decided that it was satisfied, on an application by the Australian Securities and Investments Commission that </w:t>
      </w:r>
      <w:r w:rsidRPr="00755D7D">
        <w:rPr>
          <w:b/>
          <w:bCs/>
        </w:rPr>
        <w:t xml:space="preserve">Wayne John WESSELS </w:t>
      </w:r>
      <w:r w:rsidRPr="00755D7D">
        <w:t>(</w:t>
      </w:r>
      <w:r w:rsidR="0044339B" w:rsidRPr="00755D7D">
        <w:t>“</w:t>
      </w:r>
      <w:r w:rsidRPr="00755D7D">
        <w:t>Respondent</w:t>
      </w:r>
      <w:r w:rsidR="0044339B" w:rsidRPr="00755D7D">
        <w:t>”</w:t>
      </w:r>
      <w:r w:rsidRPr="00755D7D">
        <w:t>), a registered auditor, had failed to carry out and perform adequately and properly the duties of an auditor or the duties and functions required by an Australian Law to be carried out or performed by a registered company auditor, for the purposes of s 1292(1)(d) of the Corporations Act and decided on 15 November 2013 to exercise its powers under section 1292 of the Act by ordering that the Respondent</w:t>
      </w:r>
      <w:r w:rsidR="0044339B" w:rsidRPr="00755D7D">
        <w:t>’</w:t>
      </w:r>
      <w:r w:rsidRPr="00755D7D">
        <w:t>s registration as an auditor be suspended for a period of three years with effect 14 days after the date of the decision</w:t>
      </w:r>
      <w:r w:rsidR="00494F86" w:rsidRPr="00755D7D">
        <w:t xml:space="preserve">. </w:t>
      </w:r>
    </w:p>
    <w:p w14:paraId="3FC9DF55" w14:textId="77777777" w:rsidR="002E303D" w:rsidRPr="00755D7D" w:rsidRDefault="005B6C28" w:rsidP="004C4E54">
      <w:pPr>
        <w:pStyle w:val="CAR-BodyText-Left"/>
      </w:pPr>
      <w:r w:rsidRPr="00755D7D">
        <w:t>Dated:</w:t>
      </w:r>
      <w:r w:rsidRPr="00755D7D">
        <w:tab/>
        <w:t>15 November 2013</w:t>
      </w:r>
      <w:r w:rsidR="004C4E54">
        <w:br/>
      </w:r>
      <w:r w:rsidRPr="00755D7D">
        <w:rPr>
          <w:bCs/>
        </w:rPr>
        <w:t>Gary K Hoare</w:t>
      </w:r>
      <w:r w:rsidR="004C4E54">
        <w:rPr>
          <w:bCs/>
        </w:rPr>
        <w:br/>
      </w:r>
      <w:r w:rsidR="002E303D" w:rsidRPr="00755D7D">
        <w:t>Registrar</w:t>
      </w:r>
    </w:p>
    <w:p w14:paraId="3E89A5B5" w14:textId="77777777" w:rsidR="005B6C28" w:rsidRPr="004C4E54" w:rsidRDefault="005B6C28" w:rsidP="004C4E54">
      <w:pPr>
        <w:pStyle w:val="CAR-DecisionHead"/>
        <w:spacing w:before="360"/>
      </w:pPr>
      <w:r w:rsidRPr="004C4E54">
        <w:t>William James HAMILTON</w:t>
      </w:r>
    </w:p>
    <w:p w14:paraId="41A6E4D3" w14:textId="77777777" w:rsidR="002E303D" w:rsidRPr="004C4E54" w:rsidRDefault="002E303D" w:rsidP="00E8224D">
      <w:pPr>
        <w:pStyle w:val="CAR-BodyText-Left"/>
        <w:spacing w:after="60"/>
        <w:rPr>
          <w:bCs/>
          <w:i/>
        </w:rPr>
      </w:pPr>
      <w:r w:rsidRPr="004C4E54">
        <w:rPr>
          <w:i/>
        </w:rPr>
        <w:t>Corporations Act 2001</w:t>
      </w:r>
    </w:p>
    <w:p w14:paraId="3AA544D9" w14:textId="77777777" w:rsidR="002E303D" w:rsidRPr="00755D7D" w:rsidRDefault="002E303D" w:rsidP="00E8224D">
      <w:pPr>
        <w:pStyle w:val="CAR-BodyText-Left"/>
        <w:spacing w:after="60"/>
      </w:pPr>
      <w:r w:rsidRPr="00755D7D">
        <w:t>SECTION 1296(1</w:t>
      </w:r>
      <w:proofErr w:type="gramStart"/>
      <w:r w:rsidRPr="00755D7D">
        <w:t>)(</w:t>
      </w:r>
      <w:proofErr w:type="gramEnd"/>
      <w:r w:rsidRPr="00755D7D">
        <w:t>c)</w:t>
      </w:r>
    </w:p>
    <w:p w14:paraId="714F1CA2" w14:textId="77777777" w:rsidR="002E303D" w:rsidRPr="00755D7D" w:rsidRDefault="002E303D" w:rsidP="004C4E54">
      <w:pPr>
        <w:pStyle w:val="CAR-BodyText-Left"/>
      </w:pPr>
      <w:r w:rsidRPr="00755D7D">
        <w:t>NOTICE OF DECISION</w:t>
      </w:r>
    </w:p>
    <w:p w14:paraId="030A70F6" w14:textId="77777777" w:rsidR="005B6C28" w:rsidRPr="00755D7D" w:rsidRDefault="002E303D" w:rsidP="004C4E54">
      <w:pPr>
        <w:pStyle w:val="CAR-BodyText-Left"/>
      </w:pPr>
      <w:r w:rsidRPr="00755D7D">
        <w:t xml:space="preserve">At a hearing held pursuant to section 1294 of the </w:t>
      </w:r>
      <w:r w:rsidRPr="000E175C">
        <w:rPr>
          <w:i/>
        </w:rPr>
        <w:t>Corporations Act 2001</w:t>
      </w:r>
      <w:r w:rsidRPr="00755D7D">
        <w:t xml:space="preserve"> (</w:t>
      </w:r>
      <w:r w:rsidR="0044339B" w:rsidRPr="00755D7D">
        <w:t>“</w:t>
      </w:r>
      <w:r w:rsidRPr="00755D7D">
        <w:t>Act</w:t>
      </w:r>
      <w:r w:rsidR="0044339B" w:rsidRPr="00755D7D">
        <w:t>”</w:t>
      </w:r>
      <w:r w:rsidR="000E175C">
        <w:t>), commencing on 5 </w:t>
      </w:r>
      <w:r w:rsidRPr="00755D7D">
        <w:t xml:space="preserve">November 2013 a Panel of the Companies Auditors and Liquidators Disciplinary Board decided that it was satisfied, on an application by the Australian Securities and Investments Commission that </w:t>
      </w:r>
      <w:r w:rsidRPr="00755D7D">
        <w:rPr>
          <w:b/>
          <w:bCs/>
        </w:rPr>
        <w:t xml:space="preserve">William James HAMILTON </w:t>
      </w:r>
      <w:r w:rsidRPr="00755D7D">
        <w:t>(</w:t>
      </w:r>
      <w:r w:rsidR="0044339B" w:rsidRPr="00755D7D">
        <w:t>“</w:t>
      </w:r>
      <w:r w:rsidRPr="00755D7D">
        <w:t>Respondent</w:t>
      </w:r>
      <w:r w:rsidR="0044339B" w:rsidRPr="00755D7D">
        <w:t>”</w:t>
      </w:r>
      <w:r w:rsidRPr="00755D7D">
        <w:t>), a registered liquidator, has failed to carry out or perform adequately and properly the duties of a liquidator and decided on 3 April 2014 to exercise its powers under section 1292 of the Act by ordering:</w:t>
      </w:r>
    </w:p>
    <w:p w14:paraId="429C3574" w14:textId="77777777" w:rsidR="002E303D" w:rsidRPr="00755D7D" w:rsidRDefault="002E303D" w:rsidP="00FA7458">
      <w:pPr>
        <w:pStyle w:val="CAR-Flush-Alpha-Lower"/>
        <w:numPr>
          <w:ilvl w:val="0"/>
          <w:numId w:val="32"/>
        </w:numPr>
      </w:pPr>
      <w:r w:rsidRPr="00755D7D">
        <w:t xml:space="preserve">The registration of William James Hamilton as a liquidator </w:t>
      </w:r>
      <w:proofErr w:type="gramStart"/>
      <w:r w:rsidRPr="00755D7D">
        <w:t>be</w:t>
      </w:r>
      <w:proofErr w:type="gramEnd"/>
      <w:r w:rsidRPr="00755D7D">
        <w:t xml:space="preserve"> suspended for a period of six months commencing on a day which is 60 days from the date this order takes effect.</w:t>
      </w:r>
    </w:p>
    <w:p w14:paraId="7DBB83CC" w14:textId="77777777" w:rsidR="002E303D" w:rsidRPr="00755D7D" w:rsidRDefault="002E303D" w:rsidP="00FA7458">
      <w:pPr>
        <w:pStyle w:val="CAR-Flush-Alpha-Lower"/>
        <w:numPr>
          <w:ilvl w:val="0"/>
          <w:numId w:val="32"/>
        </w:numPr>
      </w:pPr>
      <w:r w:rsidRPr="00755D7D">
        <w:t>Mr Hamilton is required to give the following undertakings in writing to ASIC within 14 days after this order takes effect:</w:t>
      </w:r>
    </w:p>
    <w:p w14:paraId="1DBC2618" w14:textId="77777777" w:rsidR="002E303D" w:rsidRPr="00755D7D" w:rsidRDefault="002E303D" w:rsidP="004C4E54">
      <w:pPr>
        <w:pStyle w:val="CAR-Indent-Roman-1"/>
        <w:spacing w:after="120"/>
      </w:pPr>
      <w:r w:rsidRPr="00755D7D">
        <w:t xml:space="preserve">Within six months after this order takes effect, or such further period as ASIC may agree in writing, in addition to the usual yearly requirements for continuing professional development of the ICAA and of ARITA, </w:t>
      </w:r>
      <w:r w:rsidRPr="00755D7D">
        <w:lastRenderedPageBreak/>
        <w:t>Mr</w:t>
      </w:r>
      <w:r w:rsidR="00E97C49" w:rsidRPr="00755D7D">
        <w:t> </w:t>
      </w:r>
      <w:r w:rsidRPr="00755D7D">
        <w:t>Hamilton must complete at his expense and in forms to be agreed in advance by ASIC (which could include courses, lectures, seminars, workshops, mentoring programmes) an additional 16 hours of professional development training covering the areas of reporting (to creditors, ASIC and other practitioners), dealings with property, compliance and risk management and liquidator</w:t>
      </w:r>
      <w:r w:rsidR="0044339B" w:rsidRPr="00755D7D">
        <w:t>’</w:t>
      </w:r>
      <w:r w:rsidRPr="00755D7D">
        <w:t>s duties to creditors and stakeholders</w:t>
      </w:r>
      <w:r w:rsidR="00494F86" w:rsidRPr="00755D7D">
        <w:t xml:space="preserve">. </w:t>
      </w:r>
    </w:p>
    <w:p w14:paraId="560E194B" w14:textId="77777777" w:rsidR="002E303D" w:rsidRPr="00755D7D" w:rsidRDefault="002E303D" w:rsidP="004C4E54">
      <w:pPr>
        <w:pStyle w:val="CAR-Indent-Roman-1"/>
        <w:spacing w:after="120"/>
      </w:pPr>
      <w:r w:rsidRPr="00755D7D">
        <w:t>On completion of any professional development training undertaken by Mr Hamilton in accordance with paragraph (</w:t>
      </w:r>
      <w:proofErr w:type="spellStart"/>
      <w:r w:rsidRPr="00755D7D">
        <w:t>i</w:t>
      </w:r>
      <w:proofErr w:type="spellEnd"/>
      <w:r w:rsidRPr="00755D7D">
        <w:t>), Mr Hamilton shall procure and lodge with ASIC a certificate or certificates of satisfactory completion (given by a person or entity agreed in advance by ASIC).</w:t>
      </w:r>
    </w:p>
    <w:p w14:paraId="75ED4363" w14:textId="77777777" w:rsidR="002E303D" w:rsidRPr="00755D7D" w:rsidRDefault="002E303D" w:rsidP="004C4E54">
      <w:pPr>
        <w:pStyle w:val="CAR-Indent-Roman-1"/>
        <w:spacing w:after="120"/>
      </w:pPr>
      <w:r w:rsidRPr="00755D7D">
        <w:t>That, during the period of suspension ordered, or before Mr Hamilton accepts any new appointments as a registered liquidator, Mr Hamilton will, at his expense, retain an appropriately qualified independent consultant agreed in advance with ASIC to:</w:t>
      </w:r>
    </w:p>
    <w:p w14:paraId="2A3F1172" w14:textId="77777777" w:rsidR="002E303D" w:rsidRPr="00755D7D" w:rsidRDefault="002E303D" w:rsidP="004C4E54">
      <w:pPr>
        <w:pStyle w:val="CAR-Flush-Number"/>
        <w:spacing w:after="120"/>
      </w:pPr>
      <w:r w:rsidRPr="00755D7D">
        <w:t>undertake a gap analysis of the current risk management and compliance procedures with respect to the conduct of liquidations and company administrations in place at the firm W J Hamilton and Co;</w:t>
      </w:r>
    </w:p>
    <w:p w14:paraId="508D0C38" w14:textId="77777777" w:rsidR="002E303D" w:rsidRPr="00755D7D" w:rsidRDefault="002E303D" w:rsidP="004C4E54">
      <w:pPr>
        <w:pStyle w:val="CAR-Flush-Number"/>
        <w:spacing w:after="120"/>
      </w:pPr>
      <w:r w:rsidRPr="00755D7D">
        <w:t>prepare a report outlining any gaps identified and including recommendations regarding specific processes and procedures necessary to address any gaps identified;</w:t>
      </w:r>
    </w:p>
    <w:p w14:paraId="4E1A96F6" w14:textId="77777777" w:rsidR="002E303D" w:rsidRPr="00755D7D" w:rsidRDefault="002E303D" w:rsidP="004C4E54">
      <w:pPr>
        <w:pStyle w:val="CAR-Flush-Number"/>
      </w:pPr>
      <w:proofErr w:type="gramStart"/>
      <w:r w:rsidRPr="00755D7D">
        <w:t>oversee</w:t>
      </w:r>
      <w:proofErr w:type="gramEnd"/>
      <w:r w:rsidRPr="00755D7D">
        <w:t xml:space="preserve"> the implementation of all recommendations made.</w:t>
      </w:r>
    </w:p>
    <w:p w14:paraId="6D1E344E" w14:textId="77777777" w:rsidR="002E303D" w:rsidRPr="00755D7D" w:rsidRDefault="002E303D" w:rsidP="004C4E54">
      <w:pPr>
        <w:pStyle w:val="CAR-Indent-Roman-1"/>
        <w:spacing w:after="120"/>
      </w:pPr>
      <w:r w:rsidRPr="00755D7D">
        <w:t>Prior to accepting any new appointments as a registered liquidator Mr Hamilton is to provide a copy of the report in paragraph (iii) 2 above to ASIC and procure and provide to ASIC confirmation from the independent consultant engaged that they have engaged in each of the steps above and in their opinion the compliance and risk management processes of the firm with respect to the conduct of company administrations and liquidations is appropriate and up to date</w:t>
      </w:r>
      <w:r w:rsidR="00494F86" w:rsidRPr="00755D7D">
        <w:t xml:space="preserve">. </w:t>
      </w:r>
    </w:p>
    <w:p w14:paraId="3AC9857A" w14:textId="77777777" w:rsidR="002E303D" w:rsidRPr="00755D7D" w:rsidRDefault="002E303D" w:rsidP="004C4E54">
      <w:pPr>
        <w:pStyle w:val="CAR-Indent-Roman-1"/>
        <w:spacing w:after="120"/>
      </w:pPr>
      <w:r w:rsidRPr="00755D7D">
        <w:t>That following the period of suspension Mr Hamilton will submit the first four company external administrations conducted by him as a liquidator registered under the Corporations Act to an independent review by a person approved by ASIC (such approval not to be unreasonably withheld)</w:t>
      </w:r>
      <w:r w:rsidR="00494F86" w:rsidRPr="00755D7D">
        <w:t xml:space="preserve">. </w:t>
      </w:r>
      <w:r w:rsidRPr="00755D7D">
        <w:t>Such person is to confirm in writing to ASIC that they have conducted a review and whether in their opinion the relevant external administration has been conducted in accordance with the Corporations Act, the ARITA Code of Professional Practice and the APES Code of Ethics for Professional Accountants.</w:t>
      </w:r>
    </w:p>
    <w:p w14:paraId="60127DCC" w14:textId="77777777" w:rsidR="002E303D" w:rsidRPr="00755D7D" w:rsidRDefault="002E303D" w:rsidP="004C4E54">
      <w:pPr>
        <w:pStyle w:val="CAR-Indent-Roman-1"/>
      </w:pPr>
      <w:r w:rsidRPr="00755D7D">
        <w:lastRenderedPageBreak/>
        <w:t>Until Mr Hamilton has complied fully with undertakings (</w:t>
      </w:r>
      <w:proofErr w:type="spellStart"/>
      <w:r w:rsidRPr="00755D7D">
        <w:t>i</w:t>
      </w:r>
      <w:proofErr w:type="spellEnd"/>
      <w:r w:rsidRPr="00755D7D">
        <w:t>)</w:t>
      </w:r>
      <w:r w:rsidR="000E175C">
        <w:t>—</w:t>
      </w:r>
      <w:r w:rsidRPr="00755D7D">
        <w:t>(</w:t>
      </w:r>
      <w:proofErr w:type="gramStart"/>
      <w:r w:rsidRPr="00755D7D">
        <w:t>iv</w:t>
      </w:r>
      <w:proofErr w:type="gramEnd"/>
      <w:r w:rsidRPr="00755D7D">
        <w:t>), Mr Hamilton will not accept any new appointment to any office required under the Corporations Act to be filled by a registered liquidator</w:t>
      </w:r>
      <w:r w:rsidR="00494F86" w:rsidRPr="00755D7D">
        <w:t xml:space="preserve">. </w:t>
      </w:r>
    </w:p>
    <w:p w14:paraId="4070EB34" w14:textId="77777777" w:rsidR="002E303D" w:rsidRPr="00755D7D" w:rsidRDefault="005B6C28" w:rsidP="004C4E54">
      <w:pPr>
        <w:pStyle w:val="CAR-BodyText-Left"/>
      </w:pPr>
      <w:r w:rsidRPr="00755D7D">
        <w:t>Dated:</w:t>
      </w:r>
      <w:r w:rsidRPr="00755D7D">
        <w:tab/>
        <w:t>3 April 2014</w:t>
      </w:r>
      <w:r w:rsidR="004C4E54">
        <w:br/>
      </w:r>
      <w:r w:rsidRPr="00755D7D">
        <w:rPr>
          <w:bCs/>
        </w:rPr>
        <w:t>Gary K Hoare</w:t>
      </w:r>
      <w:r w:rsidR="004C4E54">
        <w:rPr>
          <w:bCs/>
        </w:rPr>
        <w:br/>
      </w:r>
      <w:r w:rsidR="002E303D" w:rsidRPr="00755D7D">
        <w:t>Registrar</w:t>
      </w:r>
    </w:p>
    <w:p w14:paraId="46FBF98A" w14:textId="77777777" w:rsidR="005B6C28" w:rsidRPr="004C4E54" w:rsidRDefault="005B6C28" w:rsidP="004C4E54">
      <w:pPr>
        <w:pStyle w:val="CAR-DecisionHead"/>
        <w:spacing w:before="360"/>
      </w:pPr>
      <w:r w:rsidRPr="004C4E54">
        <w:t>Alan Godfrey TOPP</w:t>
      </w:r>
    </w:p>
    <w:p w14:paraId="4BA10032" w14:textId="77777777" w:rsidR="002E303D" w:rsidRPr="004C4E54" w:rsidRDefault="002E303D" w:rsidP="00E8224D">
      <w:pPr>
        <w:pStyle w:val="CAR-BodyText-Left"/>
        <w:spacing w:after="60"/>
        <w:rPr>
          <w:bCs/>
          <w:i/>
        </w:rPr>
      </w:pPr>
      <w:r w:rsidRPr="004C4E54">
        <w:rPr>
          <w:i/>
        </w:rPr>
        <w:t>Corporations Act 2001</w:t>
      </w:r>
    </w:p>
    <w:p w14:paraId="7A914891" w14:textId="77777777" w:rsidR="002E303D" w:rsidRPr="00755D7D" w:rsidRDefault="002E303D" w:rsidP="00E8224D">
      <w:pPr>
        <w:pStyle w:val="CAR-BodyText-Left"/>
        <w:spacing w:after="60"/>
      </w:pPr>
      <w:r w:rsidRPr="00755D7D">
        <w:t>SECTION 1296(1</w:t>
      </w:r>
      <w:proofErr w:type="gramStart"/>
      <w:r w:rsidRPr="00755D7D">
        <w:t>)(</w:t>
      </w:r>
      <w:proofErr w:type="gramEnd"/>
      <w:r w:rsidRPr="00755D7D">
        <w:t>c)</w:t>
      </w:r>
    </w:p>
    <w:p w14:paraId="3299CAAD" w14:textId="77777777" w:rsidR="002E303D" w:rsidRPr="00755D7D" w:rsidRDefault="002E303D" w:rsidP="004C4E54">
      <w:pPr>
        <w:pStyle w:val="CAR-BodyText-Left"/>
      </w:pPr>
      <w:r w:rsidRPr="00755D7D">
        <w:t>NOTICE OF DECISION</w:t>
      </w:r>
    </w:p>
    <w:p w14:paraId="51012D2F" w14:textId="77777777" w:rsidR="005B6C28" w:rsidRPr="00755D7D" w:rsidRDefault="002E303D" w:rsidP="004C4E54">
      <w:pPr>
        <w:pStyle w:val="CAR-BodyText-Left"/>
        <w:spacing w:after="120"/>
      </w:pPr>
      <w:r w:rsidRPr="00755D7D">
        <w:t xml:space="preserve">At a hearing held pursuant to section 1294 of the </w:t>
      </w:r>
      <w:r w:rsidRPr="000E175C">
        <w:rPr>
          <w:i/>
        </w:rPr>
        <w:t>Corporations Act 2001</w:t>
      </w:r>
      <w:r w:rsidRPr="00755D7D">
        <w:t xml:space="preserve"> (</w:t>
      </w:r>
      <w:r w:rsidR="0044339B" w:rsidRPr="00755D7D">
        <w:t>“</w:t>
      </w:r>
      <w:r w:rsidRPr="00755D7D">
        <w:t>Act</w:t>
      </w:r>
      <w:r w:rsidR="0044339B" w:rsidRPr="00755D7D">
        <w:t>”</w:t>
      </w:r>
      <w:r w:rsidR="004C4E54">
        <w:t>), commencing on 7 </w:t>
      </w:r>
      <w:r w:rsidRPr="00755D7D">
        <w:t xml:space="preserve">April 2014 a Panel of the Companies Auditors and Liquidators Disciplinary Board decided that it was satisfied, on an application by the Australian Securities and Investments Commission that </w:t>
      </w:r>
      <w:r w:rsidRPr="00755D7D">
        <w:rPr>
          <w:b/>
          <w:bCs/>
        </w:rPr>
        <w:t xml:space="preserve">Alan Godfrey TOPP </w:t>
      </w:r>
      <w:r w:rsidRPr="00755D7D">
        <w:t>(</w:t>
      </w:r>
      <w:r w:rsidR="0044339B" w:rsidRPr="00755D7D">
        <w:t>“</w:t>
      </w:r>
      <w:r w:rsidRPr="00755D7D">
        <w:t>Respondent</w:t>
      </w:r>
      <w:r w:rsidR="0044339B" w:rsidRPr="00755D7D">
        <w:t>”</w:t>
      </w:r>
      <w:r w:rsidRPr="00755D7D">
        <w:t>), a registered liquidator, has failed to carry out or perform adequately and properly the duties of a liquidator and duties and functions required by an Australian law to be carried out or performed by a registered liquidator and decided on 15 April 2014 to exercise its powers under section 1292 of the Act by ordering:</w:t>
      </w:r>
    </w:p>
    <w:p w14:paraId="352F31DA" w14:textId="77777777" w:rsidR="002E303D" w:rsidRPr="00755D7D" w:rsidRDefault="002E303D" w:rsidP="00FA7458">
      <w:pPr>
        <w:pStyle w:val="CAR-Flush-Alpha-Lower"/>
        <w:numPr>
          <w:ilvl w:val="0"/>
          <w:numId w:val="33"/>
        </w:numPr>
        <w:spacing w:after="120"/>
      </w:pPr>
      <w:r w:rsidRPr="00755D7D">
        <w:t>that the registr</w:t>
      </w:r>
      <w:r w:rsidR="00825172" w:rsidRPr="00755D7D">
        <w:t>a</w:t>
      </w:r>
      <w:r w:rsidRPr="00755D7D">
        <w:t xml:space="preserve">tion of Alan Godfrey </w:t>
      </w:r>
      <w:proofErr w:type="spellStart"/>
      <w:r w:rsidRPr="00755D7D">
        <w:t>Topp</w:t>
      </w:r>
      <w:proofErr w:type="spellEnd"/>
      <w:r w:rsidRPr="00755D7D">
        <w:t xml:space="preserve"> as a liquidator under the Corporations Act be suspended for a period of six months from 1 May 2014 to 31 October 2014 (</w:t>
      </w:r>
      <w:r w:rsidR="0044339B" w:rsidRPr="00755D7D">
        <w:t>“</w:t>
      </w:r>
      <w:r w:rsidRPr="00755D7D">
        <w:t>the six month suspension period</w:t>
      </w:r>
      <w:r w:rsidR="0044339B" w:rsidRPr="00755D7D">
        <w:t>”</w:t>
      </w:r>
      <w:r w:rsidRPr="00755D7D">
        <w:t>);</w:t>
      </w:r>
    </w:p>
    <w:p w14:paraId="6E984080" w14:textId="77777777" w:rsidR="002E303D" w:rsidRPr="00755D7D" w:rsidRDefault="002E303D" w:rsidP="00FA7458">
      <w:pPr>
        <w:pStyle w:val="CAR-Flush-Alpha-Lower"/>
        <w:numPr>
          <w:ilvl w:val="0"/>
          <w:numId w:val="33"/>
        </w:numPr>
      </w:pPr>
      <w:r w:rsidRPr="00755D7D">
        <w:t xml:space="preserve">that Alan Godfrey </w:t>
      </w:r>
      <w:proofErr w:type="spellStart"/>
      <w:r w:rsidRPr="00755D7D">
        <w:t>Topp</w:t>
      </w:r>
      <w:proofErr w:type="spellEnd"/>
      <w:r w:rsidRPr="00755D7D">
        <w:t xml:space="preserve"> give the following undertakings in writing within 7 days after this order takes effect:</w:t>
      </w:r>
    </w:p>
    <w:p w14:paraId="61EF5334" w14:textId="77777777" w:rsidR="002E303D" w:rsidRPr="00755D7D" w:rsidRDefault="002E303D" w:rsidP="00FA7458">
      <w:pPr>
        <w:pStyle w:val="CAR-Indent-Roman-1"/>
        <w:numPr>
          <w:ilvl w:val="0"/>
          <w:numId w:val="34"/>
        </w:numPr>
      </w:pPr>
      <w:r w:rsidRPr="00755D7D">
        <w:t xml:space="preserve">to lodge with ASIC all outstanding lodgements relating to the period up to 14 March 2013 as set out in the Schedule of Outstanding Lodgements attached to the Decision and Reasons dated 15 April 2014 and marked </w:t>
      </w:r>
      <w:r w:rsidR="0044339B" w:rsidRPr="00755D7D">
        <w:t>“</w:t>
      </w:r>
      <w:r w:rsidRPr="00755D7D">
        <w:t>A</w:t>
      </w:r>
      <w:r w:rsidR="0044339B" w:rsidRPr="00755D7D">
        <w:t>”</w:t>
      </w:r>
      <w:r w:rsidRPr="00755D7D">
        <w:t xml:space="preserve"> by 1 May 2014;</w:t>
      </w:r>
    </w:p>
    <w:p w14:paraId="3557D087" w14:textId="77777777" w:rsidR="002E303D" w:rsidRPr="00755D7D" w:rsidRDefault="002E303D" w:rsidP="00FA7458">
      <w:pPr>
        <w:pStyle w:val="CAR-Indent-Roman-1"/>
        <w:numPr>
          <w:ilvl w:val="0"/>
          <w:numId w:val="34"/>
        </w:numPr>
      </w:pPr>
      <w:r w:rsidRPr="00755D7D">
        <w:t>to make arrangements for the appointment of replacement liquidators on all current appointments by 1 May 2014 and in the event that he fails to do so, and ASIC makes application to a Court to effect such replacements, to indemnify ASIC for the cost and expense of doing so; and</w:t>
      </w:r>
    </w:p>
    <w:p w14:paraId="04E78E55" w14:textId="77777777" w:rsidR="002E303D" w:rsidRPr="00755D7D" w:rsidRDefault="002E303D" w:rsidP="00FA7458">
      <w:pPr>
        <w:pStyle w:val="CAR-Indent-Roman-1"/>
        <w:numPr>
          <w:ilvl w:val="0"/>
          <w:numId w:val="34"/>
        </w:numPr>
      </w:pPr>
      <w:r w:rsidRPr="00755D7D">
        <w:t>upon expiry of the six month suspension period, not to accept or hold any appointment as an external administrator except as a joint appointee with a registered liquidator or registered liquidators for a further period of six months;</w:t>
      </w:r>
    </w:p>
    <w:p w14:paraId="424C0AB3" w14:textId="77777777" w:rsidR="002E303D" w:rsidRPr="00755D7D" w:rsidRDefault="002E303D" w:rsidP="004C4E54">
      <w:pPr>
        <w:pStyle w:val="CAR-Flush-Alpha-Lower"/>
      </w:pPr>
      <w:r w:rsidRPr="00755D7D">
        <w:lastRenderedPageBreak/>
        <w:t xml:space="preserve">that pursuant to s 223 of the </w:t>
      </w:r>
      <w:r w:rsidRPr="000E175C">
        <w:rPr>
          <w:i/>
        </w:rPr>
        <w:t>Australian Securities and Investments Commission Act 2001</w:t>
      </w:r>
      <w:r w:rsidRPr="00755D7D">
        <w:t xml:space="preserve">, Alan Godfrey </w:t>
      </w:r>
      <w:proofErr w:type="spellStart"/>
      <w:r w:rsidRPr="00755D7D">
        <w:t>Topp</w:t>
      </w:r>
      <w:proofErr w:type="spellEnd"/>
      <w:r w:rsidRPr="00755D7D">
        <w:t xml:space="preserve"> pay ASIC</w:t>
      </w:r>
      <w:r w:rsidR="0044339B" w:rsidRPr="00755D7D">
        <w:t>’</w:t>
      </w:r>
      <w:r w:rsidRPr="00755D7D">
        <w:t>s costs in the sum of $2,000.00 within 30 days of the order for suspension in order (a) above coming into effect;</w:t>
      </w:r>
    </w:p>
    <w:p w14:paraId="7A435B3A" w14:textId="77777777" w:rsidR="002E303D" w:rsidRPr="00755D7D" w:rsidRDefault="002E303D" w:rsidP="004C4E54">
      <w:pPr>
        <w:pStyle w:val="CAR-Flush-Alpha-Lower"/>
      </w:pPr>
      <w:r w:rsidRPr="00755D7D">
        <w:t>that pursuant to s 1297(1)(b) of the Act, the order for suspension in order (a) above will come into effect on 1 May 2014 but otherwise, these orders come into effect in accordance with the provisions of s 1297(1)(a) of the Act.</w:t>
      </w:r>
    </w:p>
    <w:p w14:paraId="46EB9F36" w14:textId="79E8670B" w:rsidR="004C4E54" w:rsidRDefault="005B6C28" w:rsidP="00E8224D">
      <w:pPr>
        <w:pStyle w:val="CAR-BodyText-Left"/>
        <w:spacing w:before="240"/>
      </w:pPr>
      <w:r w:rsidRPr="00755D7D">
        <w:t>Dated:</w:t>
      </w:r>
      <w:r w:rsidRPr="00755D7D">
        <w:tab/>
        <w:t>15 April 2014</w:t>
      </w:r>
      <w:r w:rsidR="004C4E54">
        <w:br/>
      </w:r>
      <w:r w:rsidRPr="00755D7D">
        <w:rPr>
          <w:bCs/>
        </w:rPr>
        <w:t>Gary K Hoare</w:t>
      </w:r>
      <w:r w:rsidR="004C4E54">
        <w:rPr>
          <w:bCs/>
        </w:rPr>
        <w:br/>
      </w:r>
      <w:r w:rsidR="00E621BC" w:rsidRPr="00755D7D">
        <w:t>Registrar</w:t>
      </w:r>
    </w:p>
    <w:p w14:paraId="5847C743" w14:textId="77777777" w:rsidR="000E175C" w:rsidRDefault="000E175C" w:rsidP="000E175C">
      <w:pPr>
        <w:pStyle w:val="CAR-BodyText-Left"/>
      </w:pPr>
    </w:p>
    <w:sectPr w:rsidR="000E175C" w:rsidSect="000450F5">
      <w:pgSz w:w="11907" w:h="16834" w:code="9"/>
      <w:pgMar w:top="2466" w:right="2098" w:bottom="2466" w:left="2098" w:header="1899" w:footer="189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41E71" w14:textId="77777777" w:rsidR="00FF501F" w:rsidRDefault="00FF501F">
      <w:r>
        <w:separator/>
      </w:r>
    </w:p>
  </w:endnote>
  <w:endnote w:type="continuationSeparator" w:id="0">
    <w:p w14:paraId="3E284943" w14:textId="77777777" w:rsidR="00FF501F" w:rsidRDefault="00FF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7A25D" w14:textId="77777777" w:rsidR="00FF501F" w:rsidRDefault="00FF501F" w:rsidP="00494F86">
    <w:pPr>
      <w:pStyle w:val="Footer"/>
      <w:jc w:val="center"/>
    </w:pPr>
    <w:r>
      <w:rPr>
        <w:rStyle w:val="PageNumber"/>
      </w:rPr>
      <w:fldChar w:fldCharType="begin"/>
    </w:r>
    <w:r>
      <w:rPr>
        <w:rStyle w:val="PageNumber"/>
      </w:rPr>
      <w:instrText xml:space="preserve"> PAGE </w:instrText>
    </w:r>
    <w:r>
      <w:rPr>
        <w:rStyle w:val="PageNumber"/>
      </w:rPr>
      <w:fldChar w:fldCharType="separate"/>
    </w:r>
    <w:r w:rsidR="003D24D1">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FFFA4" w14:textId="77777777" w:rsidR="00FF501F" w:rsidRDefault="00FF501F">
    <w:pPr>
      <w:pStyle w:val="Footer"/>
      <w:jc w:val="center"/>
    </w:pPr>
    <w:r>
      <w:rPr>
        <w:rStyle w:val="PageNumber"/>
      </w:rPr>
      <w:fldChar w:fldCharType="begin"/>
    </w:r>
    <w:r>
      <w:rPr>
        <w:rStyle w:val="PageNumber"/>
      </w:rPr>
      <w:instrText xml:space="preserve"> PAGE </w:instrText>
    </w:r>
    <w:r>
      <w:rPr>
        <w:rStyle w:val="PageNumber"/>
      </w:rPr>
      <w:fldChar w:fldCharType="separate"/>
    </w:r>
    <w:r w:rsidR="003D24D1">
      <w:rPr>
        <w:rStyle w:val="PageNumber"/>
        <w:noProof/>
      </w:rPr>
      <w:t>v</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B485C" w14:textId="77777777" w:rsidR="00FF501F" w:rsidRPr="005F5806" w:rsidRDefault="00FF501F" w:rsidP="000E175C">
    <w:pPr>
      <w:pStyle w:val="FooterCentered"/>
    </w:pPr>
    <w:r>
      <w:fldChar w:fldCharType="begin"/>
    </w:r>
    <w:r>
      <w:instrText xml:space="preserve"> PAGE   \* MERGEFORMAT </w:instrText>
    </w:r>
    <w:r>
      <w:fldChar w:fldCharType="separate"/>
    </w:r>
    <w:r w:rsidR="007B0DC7">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0704C" w14:textId="77777777" w:rsidR="00FF501F" w:rsidRDefault="00FF501F">
      <w:r>
        <w:separator/>
      </w:r>
    </w:p>
  </w:footnote>
  <w:footnote w:type="continuationSeparator" w:id="0">
    <w:p w14:paraId="4D4CDED6" w14:textId="77777777" w:rsidR="00FF501F" w:rsidRDefault="00FF501F">
      <w:r>
        <w:continuationSeparator/>
      </w:r>
    </w:p>
  </w:footnote>
  <w:footnote w:id="1">
    <w:p w14:paraId="471200D9" w14:textId="77777777" w:rsidR="00FF501F" w:rsidRDefault="00FF501F" w:rsidP="005B223E">
      <w:pPr>
        <w:pStyle w:val="FootnoteText"/>
      </w:pPr>
      <w:r w:rsidRPr="003B554F">
        <w:rPr>
          <w:rStyle w:val="FootnoteReference"/>
          <w:vertAlign w:val="baseline"/>
        </w:rPr>
        <w:footnoteRef/>
      </w:r>
      <w:r>
        <w:t xml:space="preserve"> </w:t>
      </w:r>
      <w:r>
        <w:tab/>
        <w:t xml:space="preserve">See also </w:t>
      </w:r>
      <w:r w:rsidRPr="00091CBC">
        <w:rPr>
          <w:b/>
        </w:rPr>
        <w:t>Appendix 3</w:t>
      </w:r>
      <w:r>
        <w:rPr>
          <w:b/>
        </w:rPr>
        <w:t xml:space="preserve"> </w:t>
      </w:r>
      <w:r w:rsidRPr="00F945CA">
        <w:t>which</w:t>
      </w:r>
      <w:r>
        <w:rPr>
          <w:b/>
        </w:rPr>
        <w:t xml:space="preserve"> </w:t>
      </w:r>
      <w:r>
        <w:t xml:space="preserve">contains notices of five of the decisions, as published in the </w:t>
      </w:r>
      <w:r>
        <w:rPr>
          <w:i/>
        </w:rPr>
        <w:t xml:space="preserve">Gazette </w:t>
      </w:r>
      <w:r>
        <w:t>as at the end of the reporting year.</w:t>
      </w:r>
    </w:p>
  </w:footnote>
  <w:footnote w:id="2">
    <w:p w14:paraId="18B76DCF" w14:textId="77777777" w:rsidR="00FF501F" w:rsidRDefault="00FF501F" w:rsidP="005B223E">
      <w:pPr>
        <w:pStyle w:val="FootnoteText"/>
      </w:pPr>
      <w:r w:rsidRPr="003B554F">
        <w:rPr>
          <w:rStyle w:val="FootnoteReference"/>
          <w:vertAlign w:val="baseline"/>
        </w:rPr>
        <w:footnoteRef/>
      </w:r>
      <w:r>
        <w:t xml:space="preserve"> </w:t>
      </w:r>
      <w:r>
        <w:tab/>
      </w:r>
      <w:r w:rsidRPr="005B223E">
        <w:t>Notice of a further Decision made on 24 June 2014 was published in the Gazette on 8 July 2014, after then end of the reporting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74E8C" w14:textId="77777777" w:rsidR="00FF501F" w:rsidRPr="007B2692" w:rsidRDefault="00FF501F" w:rsidP="007B2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A8668" w14:textId="77777777" w:rsidR="00FF501F" w:rsidRPr="007B2692" w:rsidRDefault="00FF501F" w:rsidP="007B2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36843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81199D"/>
    <w:multiLevelType w:val="hybridMultilevel"/>
    <w:tmpl w:val="BDB8C762"/>
    <w:lvl w:ilvl="0" w:tplc="18E2F75C">
      <w:start w:val="1"/>
      <w:numFmt w:val="lowerRoman"/>
      <w:pStyle w:val="Style1"/>
      <w:lvlText w:val="(%1)"/>
      <w:lvlJc w:val="left"/>
      <w:pPr>
        <w:tabs>
          <w:tab w:val="num" w:pos="1287"/>
        </w:tabs>
        <w:ind w:left="1134"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0B3439"/>
    <w:multiLevelType w:val="multilevel"/>
    <w:tmpl w:val="1E8ADF78"/>
    <w:lvl w:ilvl="0">
      <w:start w:val="1"/>
      <w:numFmt w:val="lowerLetter"/>
      <w:lvlRestart w:val="0"/>
      <w:pStyle w:val="AlphaLevel4"/>
      <w:lvlText w:val="%1)"/>
      <w:lvlJc w:val="left"/>
      <w:pPr>
        <w:tabs>
          <w:tab w:val="num" w:pos="1134"/>
        </w:tabs>
        <w:ind w:left="1134"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
    <w:nsid w:val="17DB61FD"/>
    <w:multiLevelType w:val="hybridMultilevel"/>
    <w:tmpl w:val="4268E350"/>
    <w:lvl w:ilvl="0" w:tplc="0458F630">
      <w:start w:val="1"/>
      <w:numFmt w:val="decimal"/>
      <w:pStyle w:val="CAR-Flush-Number"/>
      <w:lvlText w:val="%1."/>
      <w:lvlJc w:val="left"/>
      <w:pPr>
        <w:tabs>
          <w:tab w:val="num" w:pos="1843"/>
        </w:tabs>
        <w:ind w:left="1843" w:hanging="567"/>
      </w:pPr>
      <w:rPr>
        <w:rFonts w:ascii="Book Antiqua" w:hAnsi="Book Antiqua" w:hint="default"/>
        <w:b w:val="0"/>
        <w:i w:val="0"/>
        <w:sz w:val="20"/>
      </w:r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4">
    <w:nsid w:val="19C960FD"/>
    <w:multiLevelType w:val="multilevel"/>
    <w:tmpl w:val="352C57DA"/>
    <w:name w:val="OneLevelNumberedParagraphList"/>
    <w:lvl w:ilvl="0">
      <w:start w:val="1"/>
      <w:numFmt w:val="decimal"/>
      <w:lvlRestart w:val="0"/>
      <w:pStyle w:val="TOC4"/>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5">
    <w:nsid w:val="1DD07003"/>
    <w:multiLevelType w:val="hybridMultilevel"/>
    <w:tmpl w:val="9FC0064E"/>
    <w:lvl w:ilvl="0" w:tplc="5FC0B5BC">
      <w:start w:val="1"/>
      <w:numFmt w:val="lowerLetter"/>
      <w:pStyle w:val="CAR-Flush-Alpha-Lower"/>
      <w:lvlText w:val="(%1)"/>
      <w:lvlJc w:val="left"/>
      <w:pPr>
        <w:tabs>
          <w:tab w:val="num" w:pos="567"/>
        </w:tabs>
        <w:ind w:left="567"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7461D2"/>
    <w:multiLevelType w:val="hybridMultilevel"/>
    <w:tmpl w:val="050612EE"/>
    <w:lvl w:ilvl="0" w:tplc="68028768">
      <w:start w:val="1"/>
      <w:numFmt w:val="decimal"/>
      <w:pStyle w:val="NumLarge-1"/>
      <w:lvlText w:val="%1."/>
      <w:lvlJc w:val="left"/>
      <w:pPr>
        <w:tabs>
          <w:tab w:val="num" w:pos="709"/>
        </w:tabs>
        <w:ind w:left="709" w:hanging="709"/>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616E05"/>
    <w:multiLevelType w:val="singleLevel"/>
    <w:tmpl w:val="5A7221F2"/>
    <w:name w:val="StandardNumberedParagraphList"/>
    <w:lvl w:ilvl="0">
      <w:start w:val="2"/>
      <w:numFmt w:val="decimal"/>
      <w:lvlText w:val="%1."/>
      <w:lvlJc w:val="left"/>
      <w:pPr>
        <w:tabs>
          <w:tab w:val="num" w:pos="567"/>
        </w:tabs>
        <w:ind w:left="0" w:firstLine="0"/>
      </w:pPr>
    </w:lvl>
  </w:abstractNum>
  <w:abstractNum w:abstractNumId="8">
    <w:nsid w:val="244237C5"/>
    <w:multiLevelType w:val="multilevel"/>
    <w:tmpl w:val="F0BE3518"/>
    <w:name w:val="StandardNumberedList"/>
    <w:lvl w:ilvl="0">
      <w:start w:val="1"/>
      <w:numFmt w:val="decimal"/>
      <w:lvlRestart w:val="0"/>
      <w:pStyle w:val="DoubleDot"/>
      <w:lvlText w:val="%1."/>
      <w:lvlJc w:val="left"/>
      <w:pPr>
        <w:tabs>
          <w:tab w:val="num" w:pos="567"/>
        </w:tabs>
        <w:ind w:left="567" w:hanging="567"/>
      </w:pPr>
      <w:rPr>
        <w:b w:val="0"/>
        <w:i w:val="0"/>
      </w:rPr>
    </w:lvl>
    <w:lvl w:ilvl="1">
      <w:start w:val="1"/>
      <w:numFmt w:val="decimal"/>
      <w:pStyle w:val="OutlineNumbered1"/>
      <w:lvlText w:val="%1.%2."/>
      <w:lvlJc w:val="left"/>
      <w:pPr>
        <w:tabs>
          <w:tab w:val="num" w:pos="1134"/>
        </w:tabs>
        <w:ind w:left="1134" w:hanging="567"/>
      </w:pPr>
      <w:rPr>
        <w:b w:val="0"/>
        <w:i w:val="0"/>
      </w:rPr>
    </w:lvl>
    <w:lvl w:ilvl="2">
      <w:start w:val="1"/>
      <w:numFmt w:val="decimal"/>
      <w:pStyle w:val="OutlineNumbered2"/>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49762F8"/>
    <w:multiLevelType w:val="hybridMultilevel"/>
    <w:tmpl w:val="37146CDA"/>
    <w:lvl w:ilvl="0" w:tplc="92402CD6">
      <w:start w:val="1"/>
      <w:numFmt w:val="lowerRoman"/>
      <w:pStyle w:val="CAR-Indent-Roman-2"/>
      <w:lvlText w:val="(%1)"/>
      <w:lvlJc w:val="left"/>
      <w:pPr>
        <w:tabs>
          <w:tab w:val="num" w:pos="2138"/>
        </w:tabs>
        <w:ind w:left="1843" w:hanging="425"/>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8E67AC"/>
    <w:multiLevelType w:val="hybridMultilevel"/>
    <w:tmpl w:val="28BAB42E"/>
    <w:lvl w:ilvl="0" w:tplc="B18A7B94">
      <w:start w:val="1"/>
      <w:numFmt w:val="lowerRoman"/>
      <w:pStyle w:val="NumSmall-3"/>
      <w:lvlText w:val="(%1)"/>
      <w:lvlJc w:val="left"/>
      <w:pPr>
        <w:tabs>
          <w:tab w:val="num" w:pos="2127"/>
        </w:tabs>
        <w:ind w:left="2127" w:hanging="709"/>
      </w:pPr>
      <w:rPr>
        <w:rFonts w:ascii="Palatino" w:hAnsi="Palatino"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440C8B"/>
    <w:multiLevelType w:val="multilevel"/>
    <w:tmpl w:val="4440A37E"/>
    <w:name w:val="StandardBulletedList"/>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pStyle w:val="Bullet"/>
      <w:lvlText w:val="–"/>
      <w:lvlJc w:val="left"/>
      <w:pPr>
        <w:tabs>
          <w:tab w:val="num" w:pos="567"/>
        </w:tabs>
        <w:ind w:left="567" w:hanging="284"/>
      </w:pPr>
      <w:rPr>
        <w:rFonts w:ascii="Times New Roman" w:hAnsi="Times New Roman" w:cs="Times New Roman"/>
        <w:b w:val="0"/>
        <w:i w:val="0"/>
      </w:rPr>
    </w:lvl>
    <w:lvl w:ilvl="2">
      <w:start w:val="1"/>
      <w:numFmt w:val="bullet"/>
      <w:pStyle w:val="Dash"/>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D665DFA"/>
    <w:multiLevelType w:val="singleLevel"/>
    <w:tmpl w:val="A6CEACD8"/>
    <w:lvl w:ilvl="0">
      <w:start w:val="1"/>
      <w:numFmt w:val="lowerLetter"/>
      <w:lvlRestart w:val="0"/>
      <w:pStyle w:val="OutlineNumbered3"/>
      <w:lvlText w:val="(%1)"/>
      <w:lvlJc w:val="left"/>
      <w:pPr>
        <w:tabs>
          <w:tab w:val="num" w:pos="567"/>
        </w:tabs>
        <w:ind w:left="567" w:hanging="567"/>
      </w:pPr>
      <w:rPr>
        <w:rFonts w:ascii="Book Antiqua" w:hAnsi="Book Antiqua"/>
        <w:b w:val="0"/>
        <w:i w:val="0"/>
        <w:sz w:val="20"/>
      </w:rPr>
    </w:lvl>
  </w:abstractNum>
  <w:abstractNum w:abstractNumId="13">
    <w:nsid w:val="2EE07419"/>
    <w:multiLevelType w:val="hybridMultilevel"/>
    <w:tmpl w:val="E610A820"/>
    <w:lvl w:ilvl="0" w:tplc="490A7074">
      <w:start w:val="1"/>
      <w:numFmt w:val="upperLetter"/>
      <w:pStyle w:val="CAR-Flush-Alpha-Upper"/>
      <w:lvlText w:val="%1."/>
      <w:lvlJc w:val="left"/>
      <w:pPr>
        <w:tabs>
          <w:tab w:val="num" w:pos="567"/>
        </w:tabs>
        <w:ind w:left="567"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0A2F2A"/>
    <w:multiLevelType w:val="hybridMultilevel"/>
    <w:tmpl w:val="E468E5C6"/>
    <w:lvl w:ilvl="0" w:tplc="E3D066A8">
      <w:start w:val="1"/>
      <w:numFmt w:val="decimal"/>
      <w:pStyle w:val="CAR-Indent-Number"/>
      <w:lvlText w:val="%1."/>
      <w:lvlJc w:val="left"/>
      <w:pPr>
        <w:tabs>
          <w:tab w:val="num" w:pos="1134"/>
        </w:tabs>
        <w:ind w:left="1134"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82656C"/>
    <w:multiLevelType w:val="hybridMultilevel"/>
    <w:tmpl w:val="4E3494BC"/>
    <w:lvl w:ilvl="0" w:tplc="32626696">
      <w:start w:val="1"/>
      <w:numFmt w:val="bullet"/>
      <w:pStyle w:val="CAR-Bullet-2"/>
      <w:lvlText w:val=""/>
      <w:lvlJc w:val="left"/>
      <w:pPr>
        <w:tabs>
          <w:tab w:val="num" w:pos="1494"/>
        </w:tabs>
        <w:ind w:left="1418" w:hanging="284"/>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A40BAF"/>
    <w:multiLevelType w:val="hybridMultilevel"/>
    <w:tmpl w:val="B76C5E78"/>
    <w:name w:val="StandardBulletedList2"/>
    <w:lvl w:ilvl="0" w:tplc="98FEDA64">
      <w:start w:val="1"/>
      <w:numFmt w:val="bullet"/>
      <w:pStyle w:val="CAR-Bullet-1"/>
      <w:lvlText w:val=""/>
      <w:lvlJc w:val="left"/>
      <w:pPr>
        <w:tabs>
          <w:tab w:val="num" w:pos="567"/>
        </w:tabs>
        <w:ind w:left="567" w:hanging="567"/>
      </w:pPr>
      <w:rPr>
        <w:rFonts w:ascii="Wingdings" w:hAnsi="Wingdings"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3532A3"/>
    <w:multiLevelType w:val="hybridMultilevel"/>
    <w:tmpl w:val="41C46536"/>
    <w:lvl w:ilvl="0" w:tplc="A73AD3A6">
      <w:start w:val="1"/>
      <w:numFmt w:val="bullet"/>
      <w:pStyle w:val="CAR-Indent-Asterisk"/>
      <w:lvlText w:val="*"/>
      <w:lvlJc w:val="left"/>
      <w:pPr>
        <w:tabs>
          <w:tab w:val="num" w:pos="1134"/>
        </w:tabs>
        <w:ind w:left="1134" w:hanging="567"/>
      </w:pPr>
      <w:rPr>
        <w:rFonts w:ascii="Book Antiqua" w:hAnsi="Book Antiqua"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806AF5"/>
    <w:multiLevelType w:val="multilevel"/>
    <w:tmpl w:val="B5561354"/>
    <w:name w:val="RomanNumeralJustified"/>
    <w:lvl w:ilvl="0">
      <w:start w:val="1"/>
      <w:numFmt w:val="lowerRoman"/>
      <w:lvlRestart w:val="0"/>
      <w:lvlText w:val="(i)"/>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43AC6856"/>
    <w:multiLevelType w:val="hybridMultilevel"/>
    <w:tmpl w:val="EAF2DACA"/>
    <w:lvl w:ilvl="0" w:tplc="527E1E94">
      <w:start w:val="1"/>
      <w:numFmt w:val="lowerLetter"/>
      <w:pStyle w:val="CAR-Indent-Alpha-lower"/>
      <w:lvlText w:val="(%1)"/>
      <w:lvlJc w:val="left"/>
      <w:pPr>
        <w:tabs>
          <w:tab w:val="num" w:pos="1418"/>
        </w:tabs>
        <w:ind w:left="1418" w:hanging="709"/>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662149"/>
    <w:multiLevelType w:val="multilevel"/>
    <w:tmpl w:val="CD98B952"/>
    <w:name w:val="LD_Standard"/>
    <w:lvl w:ilvl="0">
      <w:start w:val="1"/>
      <w:numFmt w:val="none"/>
      <w:pStyle w:val="LDStandard1"/>
      <w:suff w:val="nothing"/>
      <w:lvlText w:val="%1"/>
      <w:lvlJc w:val="left"/>
      <w:pPr>
        <w:ind w:left="0" w:firstLine="0"/>
      </w:pPr>
      <w:rPr>
        <w:rFonts w:cs="Times New Roman" w:hint="default"/>
      </w:rPr>
    </w:lvl>
    <w:lvl w:ilvl="1">
      <w:start w:val="1"/>
      <w:numFmt w:val="decimal"/>
      <w:pStyle w:val="LDStandard2"/>
      <w:lvlText w:val="%2%1."/>
      <w:lvlJc w:val="left"/>
      <w:pPr>
        <w:tabs>
          <w:tab w:val="num" w:pos="709"/>
        </w:tabs>
        <w:ind w:left="709" w:hanging="709"/>
      </w:pPr>
      <w:rPr>
        <w:rFonts w:cs="Times New Roman" w:hint="default"/>
      </w:rPr>
    </w:lvl>
    <w:lvl w:ilvl="2">
      <w:start w:val="1"/>
      <w:numFmt w:val="lowerLetter"/>
      <w:pStyle w:val="LDStandard3"/>
      <w:lvlText w:val="(%3)"/>
      <w:lvlJc w:val="left"/>
      <w:pPr>
        <w:tabs>
          <w:tab w:val="num" w:pos="1417"/>
        </w:tabs>
        <w:ind w:left="1417" w:hanging="708"/>
      </w:pPr>
      <w:rPr>
        <w:rFonts w:cs="Times New Roman" w:hint="default"/>
      </w:rPr>
    </w:lvl>
    <w:lvl w:ilvl="3">
      <w:start w:val="1"/>
      <w:numFmt w:val="lowerRoman"/>
      <w:pStyle w:val="LDStandard4"/>
      <w:lvlText w:val="(%4%1)"/>
      <w:lvlJc w:val="left"/>
      <w:pPr>
        <w:tabs>
          <w:tab w:val="num" w:pos="2126"/>
        </w:tabs>
        <w:ind w:left="2126" w:hanging="709"/>
      </w:pPr>
      <w:rPr>
        <w:rFonts w:cs="Times New Roman" w:hint="default"/>
      </w:rPr>
    </w:lvl>
    <w:lvl w:ilvl="4">
      <w:start w:val="1"/>
      <w:numFmt w:val="upperLetter"/>
      <w:pStyle w:val="LDStandard5"/>
      <w:lvlText w:val="(%5%1)"/>
      <w:lvlJc w:val="left"/>
      <w:pPr>
        <w:tabs>
          <w:tab w:val="num" w:pos="2835"/>
        </w:tabs>
        <w:ind w:left="2835" w:hanging="709"/>
      </w:pPr>
      <w:rPr>
        <w:rFonts w:cs="Times New Roman" w:hint="default"/>
      </w:rPr>
    </w:lvl>
    <w:lvl w:ilvl="5">
      <w:start w:val="1"/>
      <w:numFmt w:val="decimal"/>
      <w:pStyle w:val="LDStandard6"/>
      <w:lvlText w:val="(%6%1)"/>
      <w:lvlJc w:val="left"/>
      <w:pPr>
        <w:tabs>
          <w:tab w:val="num" w:pos="3544"/>
        </w:tabs>
        <w:ind w:left="3544"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21">
    <w:nsid w:val="4ABD768A"/>
    <w:multiLevelType w:val="hybridMultilevel"/>
    <w:tmpl w:val="C262C1F8"/>
    <w:lvl w:ilvl="0" w:tplc="CB7CCFC4">
      <w:start w:val="1"/>
      <w:numFmt w:val="decimal"/>
      <w:pStyle w:val="Outline-6"/>
      <w:lvlText w:val="%1."/>
      <w:lvlJc w:val="left"/>
      <w:pPr>
        <w:tabs>
          <w:tab w:val="num" w:pos="851"/>
        </w:tabs>
        <w:ind w:left="851" w:hanging="426"/>
      </w:pPr>
      <w:rPr>
        <w:rFonts w:hint="default"/>
        <w:b w:val="0"/>
        <w:i w:val="0"/>
      </w:rPr>
    </w:lvl>
    <w:lvl w:ilvl="1" w:tplc="34CCF054">
      <w:start w:val="1"/>
      <w:numFmt w:val="lowerLetter"/>
      <w:lvlText w:val="(%2)"/>
      <w:lvlJc w:val="left"/>
      <w:pPr>
        <w:tabs>
          <w:tab w:val="num" w:pos="1647"/>
        </w:tabs>
        <w:ind w:left="1647" w:hanging="567"/>
      </w:pPr>
      <w:rPr>
        <w:rFonts w:ascii="Palatino" w:hAnsi="Palatino" w:hint="default"/>
        <w:b w:val="0"/>
        <w:i w:val="0"/>
        <w:sz w:val="24"/>
      </w:rPr>
    </w:lvl>
    <w:lvl w:ilvl="2" w:tplc="9852F810">
      <w:start w:val="1"/>
      <w:numFmt w:val="lowerRoman"/>
      <w:lvlText w:val="(%3)"/>
      <w:lvlJc w:val="left"/>
      <w:pPr>
        <w:tabs>
          <w:tab w:val="num" w:pos="2421"/>
        </w:tabs>
        <w:ind w:left="2126" w:hanging="425"/>
      </w:pPr>
      <w:rPr>
        <w:rFonts w:ascii="Palatino" w:hAnsi="Palatino" w:hint="default"/>
        <w:b w:val="0"/>
        <w:i w:val="0"/>
        <w:sz w:val="24"/>
      </w:rPr>
    </w:lvl>
    <w:lvl w:ilvl="3" w:tplc="E36071CA">
      <w:start w:val="1"/>
      <w:numFmt w:val="lowerLetter"/>
      <w:lvlText w:val="(%4)"/>
      <w:lvlJc w:val="left"/>
      <w:pPr>
        <w:tabs>
          <w:tab w:val="num" w:pos="3087"/>
        </w:tabs>
        <w:ind w:left="3087" w:hanging="567"/>
      </w:pPr>
      <w:rPr>
        <w:rFonts w:ascii="Palatino" w:hAnsi="Palatino" w:hint="default"/>
        <w:b w:val="0"/>
        <w:i/>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E06931"/>
    <w:multiLevelType w:val="singleLevel"/>
    <w:tmpl w:val="4366EF18"/>
    <w:name w:val="ChartTableFootnoteAlpha"/>
    <w:lvl w:ilvl="0">
      <w:start w:val="1"/>
      <w:numFmt w:val="lowerLetter"/>
      <w:lvlRestart w:val="0"/>
      <w:pStyle w:val="BoxTextBase"/>
      <w:lvlText w:val="(%1)"/>
      <w:lvlJc w:val="left"/>
      <w:pPr>
        <w:tabs>
          <w:tab w:val="num" w:pos="283"/>
        </w:tabs>
        <w:ind w:left="283" w:hanging="283"/>
      </w:pPr>
      <w:rPr>
        <w:rFonts w:ascii="Arial" w:hAnsi="Arial" w:cs="Book Antiqua" w:hint="default"/>
        <w:b w:val="0"/>
        <w:i w:val="0"/>
        <w:sz w:val="16"/>
      </w:rPr>
    </w:lvl>
  </w:abstractNum>
  <w:abstractNum w:abstractNumId="23">
    <w:nsid w:val="51560D02"/>
    <w:multiLevelType w:val="hybridMultilevel"/>
    <w:tmpl w:val="B406E3BA"/>
    <w:lvl w:ilvl="0" w:tplc="E2381D78">
      <w:start w:val="1"/>
      <w:numFmt w:val="lowerLetter"/>
      <w:pStyle w:val="AlphaLower-2"/>
      <w:lvlText w:val="(%1)"/>
      <w:lvlJc w:val="left"/>
      <w:pPr>
        <w:tabs>
          <w:tab w:val="num" w:pos="1418"/>
        </w:tabs>
        <w:ind w:left="1418" w:hanging="709"/>
      </w:pPr>
      <w:rPr>
        <w:rFonts w:ascii="Palatino" w:hAnsi="Palatino"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90242E"/>
    <w:multiLevelType w:val="hybridMultilevel"/>
    <w:tmpl w:val="9FB4500A"/>
    <w:lvl w:ilvl="0" w:tplc="ADB69EBA">
      <w:start w:val="1"/>
      <w:numFmt w:val="upperLetter"/>
      <w:pStyle w:val="CAR-Indent-Alpha-Upper"/>
      <w:lvlText w:val="(%1)"/>
      <w:lvlJc w:val="left"/>
      <w:pPr>
        <w:tabs>
          <w:tab w:val="num" w:pos="1843"/>
        </w:tabs>
        <w:ind w:left="1843"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101827"/>
    <w:multiLevelType w:val="multilevel"/>
    <w:tmpl w:val="072C6E52"/>
    <w:name w:val="BoxBulletedList"/>
    <w:lvl w:ilvl="0">
      <w:start w:val="1"/>
      <w:numFmt w:val="bullet"/>
      <w:lvlRestart w:val="0"/>
      <w:pStyle w:val="OneLevelNumberedParagraph"/>
      <w:lvlText w:val="•"/>
      <w:lvlJc w:val="left"/>
      <w:pPr>
        <w:tabs>
          <w:tab w:val="num" w:pos="283"/>
        </w:tabs>
        <w:ind w:left="283" w:hanging="283"/>
      </w:pPr>
      <w:rPr>
        <w:rFonts w:ascii="Times New Roman" w:hAnsi="Times New Roman" w:cs="Times New Roman"/>
        <w:b w:val="0"/>
        <w:i w:val="0"/>
        <w:sz w:val="20"/>
      </w:rPr>
    </w:lvl>
    <w:lvl w:ilvl="1">
      <w:start w:val="1"/>
      <w:numFmt w:val="bullet"/>
      <w:pStyle w:val="BoxBullet"/>
      <w:lvlText w:val="–"/>
      <w:lvlJc w:val="left"/>
      <w:pPr>
        <w:tabs>
          <w:tab w:val="num" w:pos="567"/>
        </w:tabs>
        <w:ind w:left="567" w:hanging="284"/>
      </w:pPr>
      <w:rPr>
        <w:b w:val="0"/>
        <w:i w:val="0"/>
      </w:rPr>
    </w:lvl>
    <w:lvl w:ilvl="2">
      <w:start w:val="1"/>
      <w:numFmt w:val="bullet"/>
      <w:pStyle w:val="BoxDash"/>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nsid w:val="5E0A6F8D"/>
    <w:multiLevelType w:val="multilevel"/>
    <w:tmpl w:val="51941ED6"/>
    <w:name w:val="RecommendationBulletedList"/>
    <w:lvl w:ilvl="0">
      <w:start w:val="1"/>
      <w:numFmt w:val="bullet"/>
      <w:lvlRestart w:val="0"/>
      <w:pStyle w:val="BoxDoubleDot"/>
      <w:lvlText w:val="•"/>
      <w:lvlJc w:val="left"/>
      <w:pPr>
        <w:tabs>
          <w:tab w:val="num" w:pos="283"/>
        </w:tabs>
        <w:ind w:left="283" w:hanging="283"/>
      </w:pPr>
      <w:rPr>
        <w:b w:val="0"/>
        <w:i w:val="0"/>
      </w:rPr>
    </w:lvl>
    <w:lvl w:ilvl="1">
      <w:start w:val="1"/>
      <w:numFmt w:val="bullet"/>
      <w:pStyle w:val="RecommendationBullet"/>
      <w:lvlText w:val="–"/>
      <w:lvlJc w:val="left"/>
      <w:pPr>
        <w:tabs>
          <w:tab w:val="num" w:pos="567"/>
        </w:tabs>
        <w:ind w:left="567" w:hanging="284"/>
      </w:pPr>
      <w:rPr>
        <w:b w:val="0"/>
        <w:i w:val="0"/>
      </w:rPr>
    </w:lvl>
    <w:lvl w:ilvl="2">
      <w:start w:val="1"/>
      <w:numFmt w:val="bullet"/>
      <w:pStyle w:val="RecommendationDash"/>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nsid w:val="67B14D4A"/>
    <w:multiLevelType w:val="hybridMultilevel"/>
    <w:tmpl w:val="59AA65DE"/>
    <w:lvl w:ilvl="0" w:tplc="4F062FFA">
      <w:start w:val="1"/>
      <w:numFmt w:val="lowerLetter"/>
      <w:lvlRestart w:val="0"/>
      <w:pStyle w:val="CAR-Indent-Alpha-Lower0"/>
      <w:lvlText w:val="%1)"/>
      <w:lvlJc w:val="left"/>
      <w:pPr>
        <w:tabs>
          <w:tab w:val="num" w:pos="1134"/>
        </w:tabs>
        <w:ind w:left="1134"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B200A30"/>
    <w:multiLevelType w:val="multilevel"/>
    <w:tmpl w:val="33CA5444"/>
    <w:name w:val="AlphaLevel3List"/>
    <w:lvl w:ilvl="0">
      <w:start w:val="1"/>
      <w:numFmt w:val="upperLetter"/>
      <w:lvlRestart w:val="0"/>
      <w:pStyle w:val="AlphaLevel3"/>
      <w:lvlText w:val="(%1)"/>
      <w:lvlJc w:val="left"/>
      <w:pPr>
        <w:tabs>
          <w:tab w:val="num" w:pos="1701"/>
        </w:tabs>
        <w:ind w:left="1701"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9">
    <w:nsid w:val="6FA55AE3"/>
    <w:multiLevelType w:val="multilevel"/>
    <w:tmpl w:val="D0B4FF78"/>
    <w:name w:val="OneLevelNumberedJustified"/>
    <w:lvl w:ilvl="0">
      <w:start w:val="1"/>
      <w:numFmt w:val="decimal"/>
      <w:lvlRestart w:val="0"/>
      <w:pStyle w:val="Normalnumbered"/>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0">
    <w:nsid w:val="764E4DA4"/>
    <w:multiLevelType w:val="multilevel"/>
    <w:tmpl w:val="23CA7F1E"/>
    <w:lvl w:ilvl="0">
      <w:start w:val="1"/>
      <w:numFmt w:val="decimal"/>
      <w:pStyle w:val="Outline-1"/>
      <w:lvlText w:val="%1."/>
      <w:lvlJc w:val="left"/>
      <w:pPr>
        <w:tabs>
          <w:tab w:val="num" w:pos="425"/>
        </w:tabs>
        <w:ind w:left="425" w:hanging="425"/>
      </w:pPr>
      <w:rPr>
        <w:rFonts w:ascii="Palatino" w:hAnsi="Palatino" w:hint="default"/>
        <w:b w:val="0"/>
        <w:i w:val="0"/>
        <w:sz w:val="24"/>
      </w:rPr>
    </w:lvl>
    <w:lvl w:ilvl="1">
      <w:start w:val="1"/>
      <w:numFmt w:val="lowerLetter"/>
      <w:lvlText w:val="(%2)"/>
      <w:lvlJc w:val="left"/>
      <w:pPr>
        <w:tabs>
          <w:tab w:val="num" w:pos="360"/>
        </w:tabs>
        <w:ind w:left="360" w:hanging="360"/>
      </w:pPr>
      <w:rPr>
        <w:rFonts w:ascii="Palatino" w:hAnsi="Palatino" w:hint="default"/>
        <w:b w:val="0"/>
        <w:i w:val="0"/>
        <w:sz w:val="24"/>
      </w:rPr>
    </w:lvl>
    <w:lvl w:ilvl="2">
      <w:start w:val="1"/>
      <w:numFmt w:val="lowerLetter"/>
      <w:lvlText w:val="(%3)"/>
      <w:lvlJc w:val="left"/>
      <w:pPr>
        <w:tabs>
          <w:tab w:val="num" w:pos="567"/>
        </w:tabs>
        <w:ind w:left="567" w:hanging="567"/>
      </w:pPr>
      <w:rPr>
        <w:rFonts w:ascii="Palatino" w:hAnsi="Palatino" w:hint="default"/>
        <w:b w:val="0"/>
        <w:i w:val="0"/>
        <w:sz w:val="24"/>
      </w:rPr>
    </w:lvl>
    <w:lvl w:ilvl="3">
      <w:start w:val="1"/>
      <w:numFmt w:val="lowerRoman"/>
      <w:lvlText w:val="(%4)"/>
      <w:lvlJc w:val="left"/>
      <w:pPr>
        <w:tabs>
          <w:tab w:val="num" w:pos="2705"/>
        </w:tabs>
        <w:ind w:left="2552" w:hanging="567"/>
      </w:pPr>
      <w:rPr>
        <w:rFonts w:ascii="Palatino" w:hAnsi="Palatino" w:hint="default"/>
        <w:b w:val="0"/>
        <w:i w:val="0"/>
        <w:sz w:val="24"/>
      </w:rPr>
    </w:lvl>
    <w:lvl w:ilvl="4">
      <w:start w:val="1"/>
      <w:numFmt w:val="upperLetter"/>
      <w:lvlText w:val="(%5)"/>
      <w:lvlJc w:val="left"/>
      <w:pPr>
        <w:tabs>
          <w:tab w:val="num" w:pos="3232"/>
        </w:tabs>
        <w:ind w:left="3232" w:hanging="510"/>
      </w:pPr>
      <w:rPr>
        <w:rFonts w:hint="default"/>
      </w:rPr>
    </w:lvl>
    <w:lvl w:ilvl="5">
      <w:start w:val="1"/>
      <w:numFmt w:val="lowerLetter"/>
      <w:lvlText w:val="(%6)"/>
      <w:lvlJc w:val="left"/>
      <w:pPr>
        <w:tabs>
          <w:tab w:val="num" w:pos="3903"/>
        </w:tabs>
        <w:ind w:left="3543" w:firstLine="0"/>
      </w:pPr>
      <w:rPr>
        <w:rFonts w:hint="default"/>
      </w:rPr>
    </w:lvl>
    <w:lvl w:ilvl="6">
      <w:start w:val="1"/>
      <w:numFmt w:val="lowerRoman"/>
      <w:lvlText w:val="(%7)"/>
      <w:lvlJc w:val="left"/>
      <w:pPr>
        <w:tabs>
          <w:tab w:val="num" w:pos="4623"/>
        </w:tabs>
        <w:ind w:left="4263" w:firstLine="0"/>
      </w:pPr>
      <w:rPr>
        <w:rFonts w:hint="default"/>
      </w:rPr>
    </w:lvl>
    <w:lvl w:ilvl="7">
      <w:start w:val="1"/>
      <w:numFmt w:val="lowerLetter"/>
      <w:lvlText w:val="(%8)"/>
      <w:lvlJc w:val="left"/>
      <w:pPr>
        <w:tabs>
          <w:tab w:val="num" w:pos="5343"/>
        </w:tabs>
        <w:ind w:left="4983" w:firstLine="0"/>
      </w:pPr>
      <w:rPr>
        <w:rFonts w:hint="default"/>
      </w:rPr>
    </w:lvl>
    <w:lvl w:ilvl="8">
      <w:start w:val="1"/>
      <w:numFmt w:val="lowerRoman"/>
      <w:lvlText w:val="(%9)"/>
      <w:lvlJc w:val="left"/>
      <w:pPr>
        <w:tabs>
          <w:tab w:val="num" w:pos="6063"/>
        </w:tabs>
        <w:ind w:left="5703" w:firstLine="0"/>
      </w:pPr>
      <w:rPr>
        <w:rFonts w:hint="default"/>
      </w:rPr>
    </w:lvl>
  </w:abstractNum>
  <w:abstractNum w:abstractNumId="31">
    <w:nsid w:val="782565B9"/>
    <w:multiLevelType w:val="multilevel"/>
    <w:tmpl w:val="88C8E50A"/>
    <w:lvl w:ilvl="0">
      <w:start w:val="1"/>
      <w:numFmt w:val="lowerRoman"/>
      <w:lvlRestart w:val="0"/>
      <w:pStyle w:val="Romannumeral"/>
      <w:lvlText w:val="(%1)"/>
      <w:lvlJc w:val="left"/>
      <w:pPr>
        <w:tabs>
          <w:tab w:val="num" w:pos="1134"/>
        </w:tabs>
        <w:ind w:left="1134"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2">
    <w:nsid w:val="7F455FBF"/>
    <w:multiLevelType w:val="hybridMultilevel"/>
    <w:tmpl w:val="7D88533A"/>
    <w:lvl w:ilvl="0" w:tplc="449C61C6">
      <w:start w:val="1"/>
      <w:numFmt w:val="lowerRoman"/>
      <w:pStyle w:val="CAR-Indent-Roman-1"/>
      <w:lvlText w:val="(%1)"/>
      <w:lvlJc w:val="left"/>
      <w:pPr>
        <w:tabs>
          <w:tab w:val="num" w:pos="1276"/>
        </w:tabs>
        <w:ind w:left="1276" w:hanging="709"/>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11"/>
  </w:num>
  <w:num w:numId="4">
    <w:abstractNumId w:val="8"/>
  </w:num>
  <w:num w:numId="5">
    <w:abstractNumId w:val="12"/>
  </w:num>
  <w:num w:numId="6">
    <w:abstractNumId w:val="22"/>
  </w:num>
  <w:num w:numId="7">
    <w:abstractNumId w:val="25"/>
  </w:num>
  <w:num w:numId="8">
    <w:abstractNumId w:val="4"/>
  </w:num>
  <w:num w:numId="9">
    <w:abstractNumId w:val="26"/>
  </w:num>
  <w:num w:numId="10">
    <w:abstractNumId w:val="31"/>
  </w:num>
  <w:num w:numId="11">
    <w:abstractNumId w:val="28"/>
  </w:num>
  <w:num w:numId="12">
    <w:abstractNumId w:val="2"/>
  </w:num>
  <w:num w:numId="13">
    <w:abstractNumId w:val="29"/>
  </w:num>
  <w:num w:numId="14">
    <w:abstractNumId w:val="24"/>
  </w:num>
  <w:num w:numId="15">
    <w:abstractNumId w:val="1"/>
  </w:num>
  <w:num w:numId="16">
    <w:abstractNumId w:val="27"/>
  </w:num>
  <w:num w:numId="17">
    <w:abstractNumId w:val="14"/>
  </w:num>
  <w:num w:numId="18">
    <w:abstractNumId w:val="16"/>
  </w:num>
  <w:num w:numId="19">
    <w:abstractNumId w:val="5"/>
  </w:num>
  <w:num w:numId="20">
    <w:abstractNumId w:val="32"/>
  </w:num>
  <w:num w:numId="21">
    <w:abstractNumId w:val="13"/>
  </w:num>
  <w:num w:numId="22">
    <w:abstractNumId w:val="3"/>
  </w:num>
  <w:num w:numId="23">
    <w:abstractNumId w:val="20"/>
  </w:num>
  <w:num w:numId="24">
    <w:abstractNumId w:val="23"/>
  </w:num>
  <w:num w:numId="25">
    <w:abstractNumId w:val="6"/>
  </w:num>
  <w:num w:numId="26">
    <w:abstractNumId w:val="10"/>
  </w:num>
  <w:num w:numId="27">
    <w:abstractNumId w:val="17"/>
  </w:num>
  <w:num w:numId="28">
    <w:abstractNumId w:val="15"/>
  </w:num>
  <w:num w:numId="29">
    <w:abstractNumId w:val="19"/>
  </w:num>
  <w:num w:numId="30">
    <w:abstractNumId w:val="9"/>
  </w:num>
  <w:num w:numId="31">
    <w:abstractNumId w:val="0"/>
  </w:num>
  <w:num w:numId="32">
    <w:abstractNumId w:val="5"/>
    <w:lvlOverride w:ilvl="0">
      <w:startOverride w:val="1"/>
    </w:lvlOverride>
  </w:num>
  <w:num w:numId="33">
    <w:abstractNumId w:val="5"/>
    <w:lvlOverride w:ilvl="0">
      <w:startOverride w:val="1"/>
    </w:lvlOverride>
  </w:num>
  <w:num w:numId="34">
    <w:abstractNumId w:val="32"/>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BA"/>
    <w:rsid w:val="00000B2E"/>
    <w:rsid w:val="00001123"/>
    <w:rsid w:val="00002FDF"/>
    <w:rsid w:val="000036AA"/>
    <w:rsid w:val="000131D7"/>
    <w:rsid w:val="000134B9"/>
    <w:rsid w:val="00013630"/>
    <w:rsid w:val="00016636"/>
    <w:rsid w:val="00021666"/>
    <w:rsid w:val="000246D6"/>
    <w:rsid w:val="00027F54"/>
    <w:rsid w:val="00040CC6"/>
    <w:rsid w:val="00041917"/>
    <w:rsid w:val="000450D9"/>
    <w:rsid w:val="000450F5"/>
    <w:rsid w:val="00047E4F"/>
    <w:rsid w:val="00051C7B"/>
    <w:rsid w:val="00052038"/>
    <w:rsid w:val="0005370D"/>
    <w:rsid w:val="00061777"/>
    <w:rsid w:val="00061F4D"/>
    <w:rsid w:val="00064D4B"/>
    <w:rsid w:val="000726AB"/>
    <w:rsid w:val="00074672"/>
    <w:rsid w:val="00076E33"/>
    <w:rsid w:val="00077FE6"/>
    <w:rsid w:val="000879AE"/>
    <w:rsid w:val="00090203"/>
    <w:rsid w:val="00091CBC"/>
    <w:rsid w:val="00096908"/>
    <w:rsid w:val="000A12BC"/>
    <w:rsid w:val="000B1EB1"/>
    <w:rsid w:val="000B3661"/>
    <w:rsid w:val="000B54B2"/>
    <w:rsid w:val="000B6779"/>
    <w:rsid w:val="000C1CEC"/>
    <w:rsid w:val="000C594A"/>
    <w:rsid w:val="000D3A79"/>
    <w:rsid w:val="000D7AA4"/>
    <w:rsid w:val="000E175C"/>
    <w:rsid w:val="000E4AD5"/>
    <w:rsid w:val="000F0047"/>
    <w:rsid w:val="000F1DBA"/>
    <w:rsid w:val="000F687C"/>
    <w:rsid w:val="000F7863"/>
    <w:rsid w:val="00107688"/>
    <w:rsid w:val="001129F5"/>
    <w:rsid w:val="00117BC1"/>
    <w:rsid w:val="00124F76"/>
    <w:rsid w:val="00130704"/>
    <w:rsid w:val="00133F19"/>
    <w:rsid w:val="00133F6D"/>
    <w:rsid w:val="001361E1"/>
    <w:rsid w:val="00136A06"/>
    <w:rsid w:val="001411AB"/>
    <w:rsid w:val="001432B3"/>
    <w:rsid w:val="00144B66"/>
    <w:rsid w:val="0015015A"/>
    <w:rsid w:val="001506B0"/>
    <w:rsid w:val="00155EBA"/>
    <w:rsid w:val="00161168"/>
    <w:rsid w:val="001673E9"/>
    <w:rsid w:val="00172C18"/>
    <w:rsid w:val="001765B3"/>
    <w:rsid w:val="00183121"/>
    <w:rsid w:val="0018678A"/>
    <w:rsid w:val="00190511"/>
    <w:rsid w:val="00190D02"/>
    <w:rsid w:val="00191294"/>
    <w:rsid w:val="00191AA3"/>
    <w:rsid w:val="001929F7"/>
    <w:rsid w:val="00193CDA"/>
    <w:rsid w:val="00193E47"/>
    <w:rsid w:val="001A0F91"/>
    <w:rsid w:val="001B110C"/>
    <w:rsid w:val="001C1552"/>
    <w:rsid w:val="001D33F9"/>
    <w:rsid w:val="001D36EC"/>
    <w:rsid w:val="001D568D"/>
    <w:rsid w:val="001E10E3"/>
    <w:rsid w:val="001E2E8A"/>
    <w:rsid w:val="001E3ABF"/>
    <w:rsid w:val="001E7CA5"/>
    <w:rsid w:val="001F11A4"/>
    <w:rsid w:val="001F4BFB"/>
    <w:rsid w:val="00201243"/>
    <w:rsid w:val="0020462D"/>
    <w:rsid w:val="002052A0"/>
    <w:rsid w:val="00206F31"/>
    <w:rsid w:val="00212A0D"/>
    <w:rsid w:val="0021664D"/>
    <w:rsid w:val="002215EA"/>
    <w:rsid w:val="00222560"/>
    <w:rsid w:val="00224F79"/>
    <w:rsid w:val="00234290"/>
    <w:rsid w:val="0023751A"/>
    <w:rsid w:val="002439FB"/>
    <w:rsid w:val="00247E4B"/>
    <w:rsid w:val="002524C7"/>
    <w:rsid w:val="002552F4"/>
    <w:rsid w:val="00266D5E"/>
    <w:rsid w:val="00271B26"/>
    <w:rsid w:val="0029204B"/>
    <w:rsid w:val="002A39A7"/>
    <w:rsid w:val="002A5F2A"/>
    <w:rsid w:val="002B3DA7"/>
    <w:rsid w:val="002B6DF2"/>
    <w:rsid w:val="002C444D"/>
    <w:rsid w:val="002C5507"/>
    <w:rsid w:val="002C5F57"/>
    <w:rsid w:val="002C7CDC"/>
    <w:rsid w:val="002D2CEB"/>
    <w:rsid w:val="002D4176"/>
    <w:rsid w:val="002E00B3"/>
    <w:rsid w:val="002E0861"/>
    <w:rsid w:val="002E0DCD"/>
    <w:rsid w:val="002E303D"/>
    <w:rsid w:val="002E3FC6"/>
    <w:rsid w:val="002E477B"/>
    <w:rsid w:val="002E7EAB"/>
    <w:rsid w:val="002F0497"/>
    <w:rsid w:val="00303BCD"/>
    <w:rsid w:val="003052F6"/>
    <w:rsid w:val="00305B0A"/>
    <w:rsid w:val="00306ECE"/>
    <w:rsid w:val="00306FBA"/>
    <w:rsid w:val="00314EB0"/>
    <w:rsid w:val="00317C0C"/>
    <w:rsid w:val="00321D56"/>
    <w:rsid w:val="003225B1"/>
    <w:rsid w:val="00323677"/>
    <w:rsid w:val="00324C74"/>
    <w:rsid w:val="00330EA8"/>
    <w:rsid w:val="00330F7D"/>
    <w:rsid w:val="00333F35"/>
    <w:rsid w:val="00340341"/>
    <w:rsid w:val="0034043E"/>
    <w:rsid w:val="00351BD7"/>
    <w:rsid w:val="00354D42"/>
    <w:rsid w:val="00360175"/>
    <w:rsid w:val="00364DC8"/>
    <w:rsid w:val="00366032"/>
    <w:rsid w:val="00366DC9"/>
    <w:rsid w:val="00371F1D"/>
    <w:rsid w:val="003733F6"/>
    <w:rsid w:val="00380C6D"/>
    <w:rsid w:val="00381FB0"/>
    <w:rsid w:val="003842B9"/>
    <w:rsid w:val="003857B2"/>
    <w:rsid w:val="00386C1B"/>
    <w:rsid w:val="00387847"/>
    <w:rsid w:val="00387D27"/>
    <w:rsid w:val="003907F1"/>
    <w:rsid w:val="00390D2C"/>
    <w:rsid w:val="0039258B"/>
    <w:rsid w:val="003A7F46"/>
    <w:rsid w:val="003B21B5"/>
    <w:rsid w:val="003B554F"/>
    <w:rsid w:val="003C44C4"/>
    <w:rsid w:val="003D11F5"/>
    <w:rsid w:val="003D24D1"/>
    <w:rsid w:val="003D4DDB"/>
    <w:rsid w:val="003D5573"/>
    <w:rsid w:val="003E50BB"/>
    <w:rsid w:val="003E551F"/>
    <w:rsid w:val="003E6769"/>
    <w:rsid w:val="003F1539"/>
    <w:rsid w:val="00401A04"/>
    <w:rsid w:val="00402CAC"/>
    <w:rsid w:val="00413E58"/>
    <w:rsid w:val="0043314B"/>
    <w:rsid w:val="00434CC8"/>
    <w:rsid w:val="004353C4"/>
    <w:rsid w:val="004427E7"/>
    <w:rsid w:val="0044339B"/>
    <w:rsid w:val="004533AE"/>
    <w:rsid w:val="00457130"/>
    <w:rsid w:val="004621B2"/>
    <w:rsid w:val="004621D7"/>
    <w:rsid w:val="004730DB"/>
    <w:rsid w:val="00475673"/>
    <w:rsid w:val="0047578E"/>
    <w:rsid w:val="00480458"/>
    <w:rsid w:val="00480977"/>
    <w:rsid w:val="00482EC7"/>
    <w:rsid w:val="004874C9"/>
    <w:rsid w:val="00487C7E"/>
    <w:rsid w:val="00494F86"/>
    <w:rsid w:val="004A1E49"/>
    <w:rsid w:val="004A326F"/>
    <w:rsid w:val="004A5C9C"/>
    <w:rsid w:val="004A70FC"/>
    <w:rsid w:val="004B3C28"/>
    <w:rsid w:val="004C156D"/>
    <w:rsid w:val="004C1B28"/>
    <w:rsid w:val="004C4E54"/>
    <w:rsid w:val="004D10F2"/>
    <w:rsid w:val="004D225C"/>
    <w:rsid w:val="004E088C"/>
    <w:rsid w:val="004E342C"/>
    <w:rsid w:val="004E4B85"/>
    <w:rsid w:val="004E7B23"/>
    <w:rsid w:val="004F54E8"/>
    <w:rsid w:val="004F5911"/>
    <w:rsid w:val="00510ED3"/>
    <w:rsid w:val="00511DDD"/>
    <w:rsid w:val="00512136"/>
    <w:rsid w:val="00517925"/>
    <w:rsid w:val="0052366B"/>
    <w:rsid w:val="00527FE1"/>
    <w:rsid w:val="00531013"/>
    <w:rsid w:val="00535B50"/>
    <w:rsid w:val="00536E13"/>
    <w:rsid w:val="005510BF"/>
    <w:rsid w:val="00552B85"/>
    <w:rsid w:val="0055569A"/>
    <w:rsid w:val="00555DCF"/>
    <w:rsid w:val="00560315"/>
    <w:rsid w:val="00560602"/>
    <w:rsid w:val="00562EE8"/>
    <w:rsid w:val="00572150"/>
    <w:rsid w:val="005739CD"/>
    <w:rsid w:val="00573E1F"/>
    <w:rsid w:val="005776E2"/>
    <w:rsid w:val="00585B9F"/>
    <w:rsid w:val="00585D06"/>
    <w:rsid w:val="00592086"/>
    <w:rsid w:val="005B223E"/>
    <w:rsid w:val="005B2571"/>
    <w:rsid w:val="005B25A7"/>
    <w:rsid w:val="005B5119"/>
    <w:rsid w:val="005B6C28"/>
    <w:rsid w:val="005C1C87"/>
    <w:rsid w:val="005C6E57"/>
    <w:rsid w:val="005C70E4"/>
    <w:rsid w:val="005C7C97"/>
    <w:rsid w:val="005D3E2E"/>
    <w:rsid w:val="005D58CE"/>
    <w:rsid w:val="005D73E5"/>
    <w:rsid w:val="005E4870"/>
    <w:rsid w:val="005E7E10"/>
    <w:rsid w:val="005F5806"/>
    <w:rsid w:val="00600A60"/>
    <w:rsid w:val="0060192B"/>
    <w:rsid w:val="006025F4"/>
    <w:rsid w:val="0060713F"/>
    <w:rsid w:val="0061109C"/>
    <w:rsid w:val="00611390"/>
    <w:rsid w:val="00613E04"/>
    <w:rsid w:val="00614A6B"/>
    <w:rsid w:val="00615C01"/>
    <w:rsid w:val="00624284"/>
    <w:rsid w:val="00626686"/>
    <w:rsid w:val="00632678"/>
    <w:rsid w:val="0063284F"/>
    <w:rsid w:val="00633B17"/>
    <w:rsid w:val="00641761"/>
    <w:rsid w:val="00642359"/>
    <w:rsid w:val="00650DD0"/>
    <w:rsid w:val="006516ED"/>
    <w:rsid w:val="006549D7"/>
    <w:rsid w:val="006759D5"/>
    <w:rsid w:val="00677357"/>
    <w:rsid w:val="0068765D"/>
    <w:rsid w:val="006903E8"/>
    <w:rsid w:val="006940C9"/>
    <w:rsid w:val="00696CA0"/>
    <w:rsid w:val="006A4EDC"/>
    <w:rsid w:val="006A73F0"/>
    <w:rsid w:val="006B388E"/>
    <w:rsid w:val="006B4094"/>
    <w:rsid w:val="006B646B"/>
    <w:rsid w:val="006B7214"/>
    <w:rsid w:val="006B7260"/>
    <w:rsid w:val="006C3F81"/>
    <w:rsid w:val="006C7A85"/>
    <w:rsid w:val="006D31F6"/>
    <w:rsid w:val="006D796C"/>
    <w:rsid w:val="006E37E2"/>
    <w:rsid w:val="006E5F94"/>
    <w:rsid w:val="007132B3"/>
    <w:rsid w:val="0071334D"/>
    <w:rsid w:val="00714648"/>
    <w:rsid w:val="00715366"/>
    <w:rsid w:val="007166F1"/>
    <w:rsid w:val="007213AF"/>
    <w:rsid w:val="00722F61"/>
    <w:rsid w:val="00723818"/>
    <w:rsid w:val="0072382D"/>
    <w:rsid w:val="00731E01"/>
    <w:rsid w:val="00732BEF"/>
    <w:rsid w:val="00734672"/>
    <w:rsid w:val="007348DF"/>
    <w:rsid w:val="00740753"/>
    <w:rsid w:val="0074385B"/>
    <w:rsid w:val="007442DC"/>
    <w:rsid w:val="0074446B"/>
    <w:rsid w:val="00744875"/>
    <w:rsid w:val="00744A1C"/>
    <w:rsid w:val="00747A4E"/>
    <w:rsid w:val="00751625"/>
    <w:rsid w:val="00753B09"/>
    <w:rsid w:val="00755BC1"/>
    <w:rsid w:val="00755D7D"/>
    <w:rsid w:val="007560CF"/>
    <w:rsid w:val="00756BBE"/>
    <w:rsid w:val="00782C95"/>
    <w:rsid w:val="00784B55"/>
    <w:rsid w:val="00797878"/>
    <w:rsid w:val="007A0544"/>
    <w:rsid w:val="007A1517"/>
    <w:rsid w:val="007A6BC8"/>
    <w:rsid w:val="007B0DC7"/>
    <w:rsid w:val="007B1B68"/>
    <w:rsid w:val="007B2692"/>
    <w:rsid w:val="007C145C"/>
    <w:rsid w:val="007C1DAE"/>
    <w:rsid w:val="007C2300"/>
    <w:rsid w:val="007D168A"/>
    <w:rsid w:val="007D30A4"/>
    <w:rsid w:val="007D5AB9"/>
    <w:rsid w:val="007D5B3D"/>
    <w:rsid w:val="007D6699"/>
    <w:rsid w:val="007D7122"/>
    <w:rsid w:val="007E314C"/>
    <w:rsid w:val="007E6A65"/>
    <w:rsid w:val="007F06E6"/>
    <w:rsid w:val="007F7948"/>
    <w:rsid w:val="00801BB6"/>
    <w:rsid w:val="008040AF"/>
    <w:rsid w:val="008149D8"/>
    <w:rsid w:val="00822384"/>
    <w:rsid w:val="00825172"/>
    <w:rsid w:val="00827372"/>
    <w:rsid w:val="008308D0"/>
    <w:rsid w:val="00836044"/>
    <w:rsid w:val="00836D4D"/>
    <w:rsid w:val="008444E8"/>
    <w:rsid w:val="00844F7D"/>
    <w:rsid w:val="00846DE6"/>
    <w:rsid w:val="0085001B"/>
    <w:rsid w:val="00851238"/>
    <w:rsid w:val="00854BA6"/>
    <w:rsid w:val="00855079"/>
    <w:rsid w:val="00855686"/>
    <w:rsid w:val="008572AB"/>
    <w:rsid w:val="008579F7"/>
    <w:rsid w:val="0086656F"/>
    <w:rsid w:val="008702A2"/>
    <w:rsid w:val="00875632"/>
    <w:rsid w:val="00885120"/>
    <w:rsid w:val="008959EC"/>
    <w:rsid w:val="00896DCD"/>
    <w:rsid w:val="00897694"/>
    <w:rsid w:val="008A31DD"/>
    <w:rsid w:val="008B08E6"/>
    <w:rsid w:val="008B2989"/>
    <w:rsid w:val="008B323C"/>
    <w:rsid w:val="008B4123"/>
    <w:rsid w:val="008B4DC2"/>
    <w:rsid w:val="008B50A8"/>
    <w:rsid w:val="008B6A38"/>
    <w:rsid w:val="008C3AA5"/>
    <w:rsid w:val="008D25E3"/>
    <w:rsid w:val="008D3D0A"/>
    <w:rsid w:val="008D5FA6"/>
    <w:rsid w:val="008E2E47"/>
    <w:rsid w:val="008E360A"/>
    <w:rsid w:val="008E3DE4"/>
    <w:rsid w:val="008F210B"/>
    <w:rsid w:val="008F7DC9"/>
    <w:rsid w:val="00902C3C"/>
    <w:rsid w:val="0090604C"/>
    <w:rsid w:val="00906ED9"/>
    <w:rsid w:val="009104A8"/>
    <w:rsid w:val="009108D9"/>
    <w:rsid w:val="0091281B"/>
    <w:rsid w:val="00917389"/>
    <w:rsid w:val="00917871"/>
    <w:rsid w:val="009238A8"/>
    <w:rsid w:val="00924566"/>
    <w:rsid w:val="00925295"/>
    <w:rsid w:val="009264EF"/>
    <w:rsid w:val="00932CBE"/>
    <w:rsid w:val="0094017F"/>
    <w:rsid w:val="009436B4"/>
    <w:rsid w:val="00944D74"/>
    <w:rsid w:val="00952159"/>
    <w:rsid w:val="009531AA"/>
    <w:rsid w:val="00963217"/>
    <w:rsid w:val="009700A7"/>
    <w:rsid w:val="00974ADD"/>
    <w:rsid w:val="009759F7"/>
    <w:rsid w:val="009833A7"/>
    <w:rsid w:val="00986B00"/>
    <w:rsid w:val="0099007E"/>
    <w:rsid w:val="00992963"/>
    <w:rsid w:val="00997376"/>
    <w:rsid w:val="009A15F3"/>
    <w:rsid w:val="009A6E65"/>
    <w:rsid w:val="009B03ED"/>
    <w:rsid w:val="009B1600"/>
    <w:rsid w:val="009B1B47"/>
    <w:rsid w:val="009B4E7E"/>
    <w:rsid w:val="009C1E76"/>
    <w:rsid w:val="009D2439"/>
    <w:rsid w:val="009D3724"/>
    <w:rsid w:val="009D7BF7"/>
    <w:rsid w:val="009D7E79"/>
    <w:rsid w:val="009E1950"/>
    <w:rsid w:val="009E2ED4"/>
    <w:rsid w:val="009E39AA"/>
    <w:rsid w:val="009F2BB0"/>
    <w:rsid w:val="00A02B0B"/>
    <w:rsid w:val="00A04859"/>
    <w:rsid w:val="00A10CCB"/>
    <w:rsid w:val="00A128E9"/>
    <w:rsid w:val="00A147C5"/>
    <w:rsid w:val="00A15C20"/>
    <w:rsid w:val="00A22B11"/>
    <w:rsid w:val="00A24808"/>
    <w:rsid w:val="00A26416"/>
    <w:rsid w:val="00A30824"/>
    <w:rsid w:val="00A33287"/>
    <w:rsid w:val="00A3705F"/>
    <w:rsid w:val="00A37C66"/>
    <w:rsid w:val="00A415C3"/>
    <w:rsid w:val="00A43FBF"/>
    <w:rsid w:val="00A45E6D"/>
    <w:rsid w:val="00A53891"/>
    <w:rsid w:val="00A54A88"/>
    <w:rsid w:val="00A557FB"/>
    <w:rsid w:val="00A6316D"/>
    <w:rsid w:val="00A63A2C"/>
    <w:rsid w:val="00A65B13"/>
    <w:rsid w:val="00A67B12"/>
    <w:rsid w:val="00A70835"/>
    <w:rsid w:val="00A70BEC"/>
    <w:rsid w:val="00A7150E"/>
    <w:rsid w:val="00A72D17"/>
    <w:rsid w:val="00A77698"/>
    <w:rsid w:val="00A82AC4"/>
    <w:rsid w:val="00A90AA7"/>
    <w:rsid w:val="00A93B96"/>
    <w:rsid w:val="00A9431D"/>
    <w:rsid w:val="00AA41BE"/>
    <w:rsid w:val="00AB2AC9"/>
    <w:rsid w:val="00AC33FE"/>
    <w:rsid w:val="00AC4F1D"/>
    <w:rsid w:val="00AD1726"/>
    <w:rsid w:val="00AD22C2"/>
    <w:rsid w:val="00AD65F1"/>
    <w:rsid w:val="00AE3B6D"/>
    <w:rsid w:val="00AE782B"/>
    <w:rsid w:val="00AF03C0"/>
    <w:rsid w:val="00AF0F33"/>
    <w:rsid w:val="00AF4116"/>
    <w:rsid w:val="00B0129B"/>
    <w:rsid w:val="00B03381"/>
    <w:rsid w:val="00B07D95"/>
    <w:rsid w:val="00B10FCB"/>
    <w:rsid w:val="00B1735E"/>
    <w:rsid w:val="00B3505F"/>
    <w:rsid w:val="00B369E2"/>
    <w:rsid w:val="00B37FB2"/>
    <w:rsid w:val="00B564DC"/>
    <w:rsid w:val="00B65834"/>
    <w:rsid w:val="00B72585"/>
    <w:rsid w:val="00B8136C"/>
    <w:rsid w:val="00B830C9"/>
    <w:rsid w:val="00B84487"/>
    <w:rsid w:val="00B8503E"/>
    <w:rsid w:val="00B86035"/>
    <w:rsid w:val="00B9095A"/>
    <w:rsid w:val="00B91278"/>
    <w:rsid w:val="00B92263"/>
    <w:rsid w:val="00B93174"/>
    <w:rsid w:val="00BA2F9E"/>
    <w:rsid w:val="00BA6DBB"/>
    <w:rsid w:val="00BB0422"/>
    <w:rsid w:val="00BB1A41"/>
    <w:rsid w:val="00BB38D5"/>
    <w:rsid w:val="00BB4299"/>
    <w:rsid w:val="00BB4511"/>
    <w:rsid w:val="00BC2034"/>
    <w:rsid w:val="00BC397B"/>
    <w:rsid w:val="00BD05FC"/>
    <w:rsid w:val="00BD0A93"/>
    <w:rsid w:val="00BE751C"/>
    <w:rsid w:val="00BE7A59"/>
    <w:rsid w:val="00BE7F72"/>
    <w:rsid w:val="00BF20BF"/>
    <w:rsid w:val="00BF2E91"/>
    <w:rsid w:val="00BF4FCC"/>
    <w:rsid w:val="00BF7B63"/>
    <w:rsid w:val="00C125DE"/>
    <w:rsid w:val="00C1371F"/>
    <w:rsid w:val="00C17B6D"/>
    <w:rsid w:val="00C21AD3"/>
    <w:rsid w:val="00C23A04"/>
    <w:rsid w:val="00C2442B"/>
    <w:rsid w:val="00C410C0"/>
    <w:rsid w:val="00C43ECD"/>
    <w:rsid w:val="00C71B46"/>
    <w:rsid w:val="00C7672F"/>
    <w:rsid w:val="00C81D1C"/>
    <w:rsid w:val="00C844CF"/>
    <w:rsid w:val="00C91B05"/>
    <w:rsid w:val="00CA09D6"/>
    <w:rsid w:val="00CA5353"/>
    <w:rsid w:val="00CA6FC8"/>
    <w:rsid w:val="00CC284E"/>
    <w:rsid w:val="00CC6FFD"/>
    <w:rsid w:val="00CD16AA"/>
    <w:rsid w:val="00CD481C"/>
    <w:rsid w:val="00CD5B01"/>
    <w:rsid w:val="00CE3E4A"/>
    <w:rsid w:val="00CE758F"/>
    <w:rsid w:val="00CF4F8E"/>
    <w:rsid w:val="00CF6D1F"/>
    <w:rsid w:val="00D0078F"/>
    <w:rsid w:val="00D10FED"/>
    <w:rsid w:val="00D14C7B"/>
    <w:rsid w:val="00D16825"/>
    <w:rsid w:val="00D169D4"/>
    <w:rsid w:val="00D2688C"/>
    <w:rsid w:val="00D3071F"/>
    <w:rsid w:val="00D333E9"/>
    <w:rsid w:val="00D35D08"/>
    <w:rsid w:val="00D377F0"/>
    <w:rsid w:val="00D402D3"/>
    <w:rsid w:val="00D56B4B"/>
    <w:rsid w:val="00D634B9"/>
    <w:rsid w:val="00D66179"/>
    <w:rsid w:val="00D72392"/>
    <w:rsid w:val="00D72DA3"/>
    <w:rsid w:val="00D74DBB"/>
    <w:rsid w:val="00D76977"/>
    <w:rsid w:val="00D83A5F"/>
    <w:rsid w:val="00D83C38"/>
    <w:rsid w:val="00D83F30"/>
    <w:rsid w:val="00D96D40"/>
    <w:rsid w:val="00DA41E0"/>
    <w:rsid w:val="00DA78F6"/>
    <w:rsid w:val="00DB1495"/>
    <w:rsid w:val="00DB35B2"/>
    <w:rsid w:val="00DB4087"/>
    <w:rsid w:val="00DC50BF"/>
    <w:rsid w:val="00DD267D"/>
    <w:rsid w:val="00DD3298"/>
    <w:rsid w:val="00DD3A1A"/>
    <w:rsid w:val="00DD4CF0"/>
    <w:rsid w:val="00DD7DC7"/>
    <w:rsid w:val="00DE0F52"/>
    <w:rsid w:val="00DE6E85"/>
    <w:rsid w:val="00DF3396"/>
    <w:rsid w:val="00DF36FE"/>
    <w:rsid w:val="00DF4241"/>
    <w:rsid w:val="00DF4BB0"/>
    <w:rsid w:val="00DF4FD2"/>
    <w:rsid w:val="00DF50F2"/>
    <w:rsid w:val="00E02CF7"/>
    <w:rsid w:val="00E05BC5"/>
    <w:rsid w:val="00E05EA9"/>
    <w:rsid w:val="00E24641"/>
    <w:rsid w:val="00E30BA4"/>
    <w:rsid w:val="00E324FD"/>
    <w:rsid w:val="00E3448C"/>
    <w:rsid w:val="00E34C32"/>
    <w:rsid w:val="00E358E6"/>
    <w:rsid w:val="00E36403"/>
    <w:rsid w:val="00E372FB"/>
    <w:rsid w:val="00E40549"/>
    <w:rsid w:val="00E44C5E"/>
    <w:rsid w:val="00E504D9"/>
    <w:rsid w:val="00E51BEB"/>
    <w:rsid w:val="00E53C69"/>
    <w:rsid w:val="00E54B3D"/>
    <w:rsid w:val="00E552BD"/>
    <w:rsid w:val="00E621BC"/>
    <w:rsid w:val="00E62840"/>
    <w:rsid w:val="00E715C3"/>
    <w:rsid w:val="00E7355B"/>
    <w:rsid w:val="00E7530B"/>
    <w:rsid w:val="00E80266"/>
    <w:rsid w:val="00E8122C"/>
    <w:rsid w:val="00E8224D"/>
    <w:rsid w:val="00E83B4C"/>
    <w:rsid w:val="00E8799E"/>
    <w:rsid w:val="00E87B11"/>
    <w:rsid w:val="00E97C49"/>
    <w:rsid w:val="00EA5B2E"/>
    <w:rsid w:val="00EB07E6"/>
    <w:rsid w:val="00EB49D2"/>
    <w:rsid w:val="00EB7D61"/>
    <w:rsid w:val="00EC02F7"/>
    <w:rsid w:val="00EC70FB"/>
    <w:rsid w:val="00ED38CD"/>
    <w:rsid w:val="00ED572A"/>
    <w:rsid w:val="00EE58A8"/>
    <w:rsid w:val="00EF333C"/>
    <w:rsid w:val="00EF5811"/>
    <w:rsid w:val="00EF6B9F"/>
    <w:rsid w:val="00F001EC"/>
    <w:rsid w:val="00F073B9"/>
    <w:rsid w:val="00F13BF9"/>
    <w:rsid w:val="00F1721B"/>
    <w:rsid w:val="00F201FA"/>
    <w:rsid w:val="00F21170"/>
    <w:rsid w:val="00F217AE"/>
    <w:rsid w:val="00F2231C"/>
    <w:rsid w:val="00F234DF"/>
    <w:rsid w:val="00F27AFE"/>
    <w:rsid w:val="00F27C4E"/>
    <w:rsid w:val="00F3001A"/>
    <w:rsid w:val="00F30CAF"/>
    <w:rsid w:val="00F343EE"/>
    <w:rsid w:val="00F353F1"/>
    <w:rsid w:val="00F41E42"/>
    <w:rsid w:val="00F46214"/>
    <w:rsid w:val="00F5202E"/>
    <w:rsid w:val="00F5335D"/>
    <w:rsid w:val="00F57322"/>
    <w:rsid w:val="00F607A8"/>
    <w:rsid w:val="00F62508"/>
    <w:rsid w:val="00F633C6"/>
    <w:rsid w:val="00F70CA0"/>
    <w:rsid w:val="00F71E2A"/>
    <w:rsid w:val="00F72A4F"/>
    <w:rsid w:val="00F74BD7"/>
    <w:rsid w:val="00F75C09"/>
    <w:rsid w:val="00F945CA"/>
    <w:rsid w:val="00FA27EE"/>
    <w:rsid w:val="00FA2DBC"/>
    <w:rsid w:val="00FA4A2B"/>
    <w:rsid w:val="00FA4BCE"/>
    <w:rsid w:val="00FA4D7D"/>
    <w:rsid w:val="00FA7458"/>
    <w:rsid w:val="00FB0D62"/>
    <w:rsid w:val="00FB613B"/>
    <w:rsid w:val="00FC38FA"/>
    <w:rsid w:val="00FC5855"/>
    <w:rsid w:val="00FC64EE"/>
    <w:rsid w:val="00FD2813"/>
    <w:rsid w:val="00FD3D0C"/>
    <w:rsid w:val="00FD61A3"/>
    <w:rsid w:val="00FD736F"/>
    <w:rsid w:val="00FE27AB"/>
    <w:rsid w:val="00FE64C5"/>
    <w:rsid w:val="00FF501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54F"/>
    <w:pPr>
      <w:spacing w:after="240" w:line="260" w:lineRule="exact"/>
    </w:pPr>
    <w:rPr>
      <w:rFonts w:ascii="Book Antiqua" w:hAnsi="Book Antiqua"/>
      <w:color w:val="000000"/>
      <w:sz w:val="24"/>
      <w:szCs w:val="24"/>
    </w:rPr>
  </w:style>
  <w:style w:type="paragraph" w:styleId="Heading1">
    <w:name w:val="heading 1"/>
    <w:basedOn w:val="HeadingBase"/>
    <w:next w:val="Normal"/>
    <w:link w:val="Heading1Char"/>
    <w:qFormat/>
    <w:rsid w:val="00BF20BF"/>
    <w:pPr>
      <w:spacing w:before="240" w:after="240"/>
      <w:outlineLvl w:val="0"/>
    </w:pPr>
    <w:rPr>
      <w:b/>
      <w:bCs/>
      <w:kern w:val="32"/>
      <w:sz w:val="32"/>
      <w:szCs w:val="36"/>
      <w:lang w:val="x-none" w:eastAsia="x-none"/>
    </w:rPr>
  </w:style>
  <w:style w:type="paragraph" w:styleId="Heading2">
    <w:name w:val="heading 2"/>
    <w:basedOn w:val="HeadingBase"/>
    <w:next w:val="Normal"/>
    <w:qFormat/>
    <w:rsid w:val="00BF20BF"/>
    <w:pPr>
      <w:spacing w:before="240" w:after="120"/>
      <w:outlineLvl w:val="1"/>
    </w:pPr>
    <w:rPr>
      <w:rFonts w:cs="Arial"/>
      <w:b/>
      <w:bCs/>
      <w:iCs/>
      <w:sz w:val="28"/>
      <w:szCs w:val="28"/>
    </w:rPr>
  </w:style>
  <w:style w:type="paragraph" w:styleId="Heading3">
    <w:name w:val="heading 3"/>
    <w:basedOn w:val="HeadingBase"/>
    <w:next w:val="Normal"/>
    <w:qFormat/>
    <w:rsid w:val="005776E2"/>
    <w:pPr>
      <w:spacing w:before="240" w:after="120"/>
      <w:outlineLvl w:val="2"/>
    </w:pPr>
    <w:rPr>
      <w:rFonts w:cs="Arial"/>
      <w:b/>
      <w:bCs/>
      <w:szCs w:val="26"/>
    </w:rPr>
  </w:style>
  <w:style w:type="paragraph" w:styleId="Heading4">
    <w:name w:val="heading 4"/>
    <w:basedOn w:val="HeadingBase"/>
    <w:next w:val="Normal"/>
    <w:qFormat/>
    <w:rsid w:val="00755D7D"/>
    <w:pPr>
      <w:spacing w:before="240" w:after="120"/>
      <w:outlineLvl w:val="3"/>
    </w:pPr>
    <w:rPr>
      <w:b/>
      <w:bCs/>
      <w:i/>
      <w:sz w:val="22"/>
      <w:szCs w:val="22"/>
    </w:rPr>
  </w:style>
  <w:style w:type="paragraph" w:styleId="Heading5">
    <w:name w:val="heading 5"/>
    <w:basedOn w:val="HeadingBase"/>
    <w:next w:val="Normal"/>
    <w:qFormat/>
    <w:rsid w:val="00BF20BF"/>
    <w:pPr>
      <w:spacing w:before="40" w:after="40"/>
      <w:outlineLvl w:val="4"/>
    </w:pPr>
    <w:rPr>
      <w:b/>
      <w:bCs/>
      <w:iCs/>
    </w:rPr>
  </w:style>
  <w:style w:type="paragraph" w:styleId="Heading6">
    <w:name w:val="heading 6"/>
    <w:basedOn w:val="HeadingBase"/>
    <w:next w:val="Normal"/>
    <w:qFormat/>
    <w:rsid w:val="00BF20BF"/>
    <w:pPr>
      <w:spacing w:before="360" w:after="360"/>
      <w:jc w:val="center"/>
      <w:outlineLvl w:val="5"/>
    </w:pPr>
    <w:rPr>
      <w:b/>
      <w:bCs/>
      <w:kern w:val="32"/>
      <w:sz w:val="28"/>
      <w:szCs w:val="22"/>
    </w:rPr>
  </w:style>
  <w:style w:type="paragraph" w:styleId="Heading7">
    <w:name w:val="heading 7"/>
    <w:basedOn w:val="HeadingBase"/>
    <w:next w:val="Normal"/>
    <w:qFormat/>
    <w:rsid w:val="00BF20BF"/>
    <w:pPr>
      <w:spacing w:after="120"/>
      <w:outlineLvl w:val="6"/>
    </w:pPr>
  </w:style>
  <w:style w:type="paragraph" w:styleId="Heading8">
    <w:name w:val="heading 8"/>
    <w:basedOn w:val="HeadingBase"/>
    <w:next w:val="Normal"/>
    <w:qFormat/>
    <w:rsid w:val="00BF20BF"/>
    <w:pPr>
      <w:spacing w:after="120"/>
      <w:outlineLvl w:val="7"/>
    </w:pPr>
    <w:rPr>
      <w:iCs/>
    </w:rPr>
  </w:style>
  <w:style w:type="paragraph" w:styleId="Heading9">
    <w:name w:val="heading 9"/>
    <w:basedOn w:val="HeadingBase"/>
    <w:next w:val="Normal"/>
    <w:qFormat/>
    <w:rsid w:val="00BF20BF"/>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BF20BF"/>
    <w:pPr>
      <w:keepNext/>
    </w:pPr>
    <w:rPr>
      <w:rFonts w:ascii="Arial" w:hAnsi="Arial"/>
      <w:color w:val="000080"/>
      <w:sz w:val="24"/>
      <w:szCs w:val="24"/>
    </w:rPr>
  </w:style>
  <w:style w:type="paragraph" w:styleId="NormalIndent">
    <w:name w:val="Normal Indent"/>
    <w:basedOn w:val="Normal"/>
    <w:semiHidden/>
    <w:rsid w:val="00BF20BF"/>
    <w:pPr>
      <w:ind w:left="567"/>
    </w:pPr>
  </w:style>
  <w:style w:type="paragraph" w:styleId="Header">
    <w:name w:val="header"/>
    <w:basedOn w:val="HeadingBase"/>
    <w:semiHidden/>
    <w:rsid w:val="00BF20BF"/>
    <w:rPr>
      <w:sz w:val="18"/>
    </w:rPr>
  </w:style>
  <w:style w:type="character" w:styleId="PageNumber">
    <w:name w:val="page number"/>
    <w:basedOn w:val="DefaultParagraphFont"/>
    <w:semiHidden/>
    <w:rsid w:val="00BF20BF"/>
  </w:style>
  <w:style w:type="paragraph" w:styleId="Footer">
    <w:name w:val="footer"/>
    <w:basedOn w:val="HeadingBase"/>
    <w:semiHidden/>
    <w:rsid w:val="00BF20BF"/>
    <w:rPr>
      <w:sz w:val="18"/>
    </w:rPr>
  </w:style>
  <w:style w:type="paragraph" w:customStyle="1" w:styleId="Document">
    <w:name w:val="Document"/>
    <w:basedOn w:val="Normal"/>
    <w:rsid w:val="00BF20BF"/>
    <w:pPr>
      <w:tabs>
        <w:tab w:val="num" w:pos="0"/>
      </w:tabs>
      <w:spacing w:after="120" w:line="360" w:lineRule="auto"/>
      <w:ind w:left="567" w:hanging="567"/>
      <w:jc w:val="both"/>
    </w:pPr>
    <w:rPr>
      <w:rFonts w:ascii="Arial" w:hAnsi="Arial"/>
      <w:sz w:val="22"/>
      <w:szCs w:val="22"/>
    </w:rPr>
  </w:style>
  <w:style w:type="paragraph" w:styleId="Title">
    <w:name w:val="Title"/>
    <w:basedOn w:val="Normal"/>
    <w:qFormat/>
    <w:rsid w:val="00BF20BF"/>
    <w:pPr>
      <w:spacing w:line="360" w:lineRule="auto"/>
      <w:jc w:val="center"/>
    </w:pPr>
    <w:rPr>
      <w:b/>
      <w:szCs w:val="22"/>
      <w:u w:val="single"/>
    </w:rPr>
  </w:style>
  <w:style w:type="paragraph" w:customStyle="1" w:styleId="Outline-1">
    <w:name w:val="Outline-1"/>
    <w:rsid w:val="00BF20BF"/>
    <w:pPr>
      <w:numPr>
        <w:numId w:val="1"/>
      </w:numPr>
      <w:tabs>
        <w:tab w:val="left" w:pos="567"/>
      </w:tabs>
      <w:spacing w:before="240"/>
      <w:jc w:val="both"/>
    </w:pPr>
    <w:rPr>
      <w:rFonts w:ascii="Palatino" w:hAnsi="Palatino"/>
      <w:sz w:val="24"/>
      <w:szCs w:val="24"/>
      <w:lang w:eastAsia="en-US"/>
    </w:rPr>
  </w:style>
  <w:style w:type="paragraph" w:customStyle="1" w:styleId="Outline-6">
    <w:name w:val="Outline-6"/>
    <w:rsid w:val="00BF20BF"/>
    <w:pPr>
      <w:numPr>
        <w:numId w:val="2"/>
      </w:numPr>
      <w:spacing w:before="120"/>
      <w:jc w:val="both"/>
    </w:pPr>
    <w:rPr>
      <w:rFonts w:ascii="Palatino" w:hAnsi="Palatino"/>
      <w:sz w:val="24"/>
      <w:szCs w:val="24"/>
      <w:lang w:eastAsia="en-US"/>
    </w:rPr>
  </w:style>
  <w:style w:type="paragraph" w:customStyle="1" w:styleId="SingleParagraph">
    <w:name w:val="Single Paragraph"/>
    <w:basedOn w:val="Normal"/>
    <w:rsid w:val="00BF20BF"/>
    <w:pPr>
      <w:spacing w:after="0"/>
    </w:pPr>
  </w:style>
  <w:style w:type="character" w:styleId="Hyperlink">
    <w:name w:val="Hyperlink"/>
    <w:uiPriority w:val="99"/>
    <w:rsid w:val="00BF20BF"/>
    <w:rPr>
      <w:color w:val="auto"/>
      <w:u w:val="none"/>
    </w:rPr>
  </w:style>
  <w:style w:type="character" w:styleId="FootnoteReference">
    <w:name w:val="footnote reference"/>
    <w:rsid w:val="00BF20BF"/>
    <w:rPr>
      <w:vertAlign w:val="superscript"/>
    </w:rPr>
  </w:style>
  <w:style w:type="character" w:styleId="FollowedHyperlink">
    <w:name w:val="FollowedHyperlink"/>
    <w:semiHidden/>
    <w:rsid w:val="00BF20BF"/>
    <w:rPr>
      <w:color w:val="auto"/>
      <w:u w:val="none"/>
    </w:rPr>
  </w:style>
  <w:style w:type="paragraph" w:styleId="FootnoteText">
    <w:name w:val="footnote text"/>
    <w:basedOn w:val="Normal"/>
    <w:link w:val="FootnoteTextChar"/>
    <w:rsid w:val="000E175C"/>
    <w:pPr>
      <w:tabs>
        <w:tab w:val="left" w:pos="284"/>
      </w:tabs>
      <w:spacing w:after="0" w:line="240" w:lineRule="auto"/>
      <w:ind w:left="284" w:hanging="284"/>
    </w:pPr>
    <w:rPr>
      <w:sz w:val="18"/>
      <w:lang w:val="x-none" w:eastAsia="x-none"/>
    </w:rPr>
  </w:style>
  <w:style w:type="paragraph" w:customStyle="1" w:styleId="Bullet">
    <w:name w:val="Bullet"/>
    <w:basedOn w:val="Normal"/>
    <w:rsid w:val="00BF20BF"/>
    <w:pPr>
      <w:numPr>
        <w:ilvl w:val="1"/>
        <w:numId w:val="3"/>
      </w:numPr>
      <w:tabs>
        <w:tab w:val="clear" w:pos="567"/>
        <w:tab w:val="num" w:pos="283"/>
      </w:tabs>
      <w:ind w:left="283" w:hanging="283"/>
    </w:pPr>
  </w:style>
  <w:style w:type="paragraph" w:customStyle="1" w:styleId="Dash">
    <w:name w:val="Dash"/>
    <w:basedOn w:val="Normal"/>
    <w:rsid w:val="00BF20BF"/>
    <w:pPr>
      <w:numPr>
        <w:ilvl w:val="2"/>
        <w:numId w:val="3"/>
      </w:numPr>
      <w:tabs>
        <w:tab w:val="clear" w:pos="850"/>
        <w:tab w:val="num" w:pos="567"/>
      </w:tabs>
      <w:ind w:left="567" w:hanging="284"/>
    </w:pPr>
  </w:style>
  <w:style w:type="paragraph" w:customStyle="1" w:styleId="DoubleDot">
    <w:name w:val="Double Dot"/>
    <w:basedOn w:val="Normal"/>
    <w:rsid w:val="00BF20BF"/>
    <w:pPr>
      <w:numPr>
        <w:numId w:val="4"/>
      </w:numPr>
      <w:tabs>
        <w:tab w:val="clear" w:pos="567"/>
        <w:tab w:val="num" w:pos="850"/>
      </w:tabs>
      <w:ind w:left="850" w:hanging="283"/>
    </w:pPr>
  </w:style>
  <w:style w:type="paragraph" w:customStyle="1" w:styleId="OutlineNumbered1">
    <w:name w:val="Outline Numbered 1"/>
    <w:basedOn w:val="Normal"/>
    <w:rsid w:val="00BF20BF"/>
    <w:pPr>
      <w:numPr>
        <w:ilvl w:val="1"/>
        <w:numId w:val="4"/>
      </w:numPr>
      <w:tabs>
        <w:tab w:val="clear" w:pos="1134"/>
        <w:tab w:val="num" w:pos="567"/>
      </w:tabs>
      <w:ind w:left="567"/>
    </w:pPr>
  </w:style>
  <w:style w:type="paragraph" w:customStyle="1" w:styleId="OutlineNumbered2">
    <w:name w:val="Outline Numbered 2"/>
    <w:basedOn w:val="Normal"/>
    <w:rsid w:val="00BF20BF"/>
    <w:pPr>
      <w:numPr>
        <w:ilvl w:val="2"/>
        <w:numId w:val="4"/>
      </w:numPr>
      <w:tabs>
        <w:tab w:val="clear" w:pos="1701"/>
        <w:tab w:val="num" w:pos="1134"/>
      </w:tabs>
      <w:ind w:left="1134"/>
    </w:pPr>
  </w:style>
  <w:style w:type="paragraph" w:customStyle="1" w:styleId="OutlineNumbered3">
    <w:name w:val="Outline Numbered 3"/>
    <w:basedOn w:val="Normal"/>
    <w:rsid w:val="00BF20BF"/>
    <w:pPr>
      <w:numPr>
        <w:numId w:val="5"/>
      </w:numPr>
      <w:jc w:val="both"/>
    </w:pPr>
  </w:style>
  <w:style w:type="paragraph" w:customStyle="1" w:styleId="AlphaParagraph">
    <w:name w:val="Alpha Paragraph"/>
    <w:basedOn w:val="Normal"/>
    <w:rsid w:val="00BF20BF"/>
  </w:style>
  <w:style w:type="paragraph" w:customStyle="1" w:styleId="AppendixHeading">
    <w:name w:val="Appendix Heading"/>
    <w:basedOn w:val="HeadingBase"/>
    <w:next w:val="Normal"/>
    <w:rsid w:val="00BF20BF"/>
    <w:pPr>
      <w:spacing w:before="720" w:after="360"/>
      <w:outlineLvl w:val="0"/>
    </w:pPr>
    <w:rPr>
      <w:rFonts w:ascii="Arial Bold" w:hAnsi="Arial Bold"/>
      <w:b/>
      <w:smallCaps/>
      <w:sz w:val="36"/>
      <w:szCs w:val="36"/>
    </w:rPr>
  </w:style>
  <w:style w:type="character" w:customStyle="1" w:styleId="Bold">
    <w:name w:val="Bold"/>
    <w:rsid w:val="00BF20BF"/>
    <w:rPr>
      <w:b/>
    </w:rPr>
  </w:style>
  <w:style w:type="paragraph" w:customStyle="1" w:styleId="BoxHeading">
    <w:name w:val="Box Heading"/>
    <w:basedOn w:val="HeadingBase"/>
    <w:next w:val="BoxText"/>
    <w:rsid w:val="00BF20BF"/>
    <w:pPr>
      <w:spacing w:before="120" w:after="120"/>
    </w:pPr>
    <w:rPr>
      <w:b/>
      <w:sz w:val="22"/>
    </w:rPr>
  </w:style>
  <w:style w:type="paragraph" w:customStyle="1" w:styleId="BoxText">
    <w:name w:val="Box Text"/>
    <w:basedOn w:val="BoxTextBase"/>
    <w:rsid w:val="00BF20BF"/>
  </w:style>
  <w:style w:type="paragraph" w:customStyle="1" w:styleId="BoxTextBase">
    <w:name w:val="Box Text Base"/>
    <w:basedOn w:val="Normal"/>
    <w:rsid w:val="00BF20BF"/>
    <w:pPr>
      <w:numPr>
        <w:numId w:val="6"/>
      </w:numPr>
      <w:tabs>
        <w:tab w:val="clear" w:pos="283"/>
      </w:tabs>
      <w:spacing w:before="120" w:after="120"/>
      <w:ind w:left="0" w:firstLine="0"/>
    </w:pPr>
  </w:style>
  <w:style w:type="paragraph" w:customStyle="1" w:styleId="ChartandTableFootnoteAlpha">
    <w:name w:val="Chart and Table Footnote Alpha"/>
    <w:rsid w:val="00BF20BF"/>
    <w:pPr>
      <w:tabs>
        <w:tab w:val="num" w:pos="851"/>
      </w:tabs>
      <w:ind w:left="284" w:hanging="284"/>
    </w:pPr>
    <w:rPr>
      <w:rFonts w:ascii="Arial" w:hAnsi="Arial"/>
      <w:color w:val="000000"/>
      <w:sz w:val="16"/>
      <w:szCs w:val="16"/>
    </w:rPr>
  </w:style>
  <w:style w:type="paragraph" w:customStyle="1" w:styleId="CAR-Logo">
    <w:name w:val="CAR-Logo"/>
    <w:basedOn w:val="Normal"/>
    <w:next w:val="Normal"/>
    <w:rsid w:val="00BF20BF"/>
    <w:pPr>
      <w:keepNext/>
      <w:spacing w:after="0" w:line="240" w:lineRule="auto"/>
      <w:jc w:val="center"/>
    </w:pPr>
    <w:rPr>
      <w:rFonts w:ascii="Arial" w:hAnsi="Arial"/>
      <w:color w:val="000080"/>
    </w:rPr>
  </w:style>
  <w:style w:type="paragraph" w:customStyle="1" w:styleId="ChartMainHeading">
    <w:name w:val="Chart Main Heading"/>
    <w:basedOn w:val="HeadingBase"/>
    <w:next w:val="ChartGraphic"/>
    <w:rsid w:val="00BF20BF"/>
    <w:pPr>
      <w:spacing w:after="20"/>
      <w:jc w:val="center"/>
    </w:pPr>
    <w:rPr>
      <w:b/>
      <w:sz w:val="22"/>
    </w:rPr>
  </w:style>
  <w:style w:type="paragraph" w:customStyle="1" w:styleId="ChartGraphic">
    <w:name w:val="Chart Graphic"/>
    <w:basedOn w:val="HeadingBase"/>
    <w:next w:val="Normal"/>
    <w:rsid w:val="00BF20BF"/>
    <w:pPr>
      <w:jc w:val="center"/>
    </w:pPr>
  </w:style>
  <w:style w:type="paragraph" w:customStyle="1" w:styleId="ChartorTableNote">
    <w:name w:val="Chart or Table Note"/>
    <w:next w:val="Normal"/>
    <w:rsid w:val="00BF20BF"/>
    <w:pPr>
      <w:tabs>
        <w:tab w:val="left" w:pos="240"/>
      </w:tabs>
      <w:ind w:left="240" w:hanging="240"/>
    </w:pPr>
    <w:rPr>
      <w:rFonts w:ascii="Arial" w:hAnsi="Arial"/>
      <w:color w:val="000000"/>
      <w:sz w:val="16"/>
      <w:szCs w:val="24"/>
    </w:rPr>
  </w:style>
  <w:style w:type="paragraph" w:customStyle="1" w:styleId="ChartSecondHeading">
    <w:name w:val="Chart Second Heading"/>
    <w:basedOn w:val="HeadingBase"/>
    <w:next w:val="ChartGraphic"/>
    <w:rsid w:val="00BF20BF"/>
    <w:pPr>
      <w:spacing w:after="20"/>
      <w:jc w:val="center"/>
    </w:pPr>
  </w:style>
  <w:style w:type="paragraph" w:customStyle="1" w:styleId="Classification">
    <w:name w:val="Classification"/>
    <w:basedOn w:val="HeadingBase"/>
    <w:next w:val="Footer"/>
    <w:rsid w:val="00BF20BF"/>
    <w:pPr>
      <w:spacing w:after="120"/>
      <w:jc w:val="center"/>
    </w:pPr>
    <w:rPr>
      <w:b/>
      <w:smallCaps/>
    </w:rPr>
  </w:style>
  <w:style w:type="paragraph" w:customStyle="1" w:styleId="ContentsHeading">
    <w:name w:val="Contents Heading"/>
    <w:basedOn w:val="HeadingBase"/>
    <w:next w:val="Normal"/>
    <w:rsid w:val="00BF20BF"/>
    <w:pPr>
      <w:spacing w:after="360"/>
    </w:pPr>
    <w:rPr>
      <w:smallCaps/>
      <w:sz w:val="36"/>
      <w:szCs w:val="36"/>
    </w:rPr>
  </w:style>
  <w:style w:type="paragraph" w:customStyle="1" w:styleId="CAR-CoverMain">
    <w:name w:val="CAR-CoverMain"/>
    <w:basedOn w:val="Normal"/>
    <w:next w:val="Normal"/>
    <w:rsid w:val="00BF20BF"/>
    <w:pPr>
      <w:keepNext/>
      <w:spacing w:before="2000" w:after="480" w:line="240" w:lineRule="auto"/>
      <w:jc w:val="center"/>
    </w:pPr>
    <w:rPr>
      <w:rFonts w:ascii="Arial" w:hAnsi="Arial"/>
      <w:b/>
      <w:color w:val="000080"/>
      <w:sz w:val="48"/>
    </w:rPr>
  </w:style>
  <w:style w:type="paragraph" w:customStyle="1" w:styleId="CAR-CoverSub">
    <w:name w:val="CAR-CoverSub"/>
    <w:basedOn w:val="Normal"/>
    <w:rsid w:val="00BF20BF"/>
    <w:pPr>
      <w:keepNext/>
      <w:spacing w:before="1440" w:after="360" w:line="240" w:lineRule="auto"/>
      <w:jc w:val="center"/>
    </w:pPr>
    <w:rPr>
      <w:rFonts w:ascii="Arial" w:hAnsi="Arial"/>
      <w:color w:val="000080"/>
      <w:sz w:val="36"/>
    </w:rPr>
  </w:style>
  <w:style w:type="paragraph" w:customStyle="1" w:styleId="FooterCentered">
    <w:name w:val="Footer Centered"/>
    <w:basedOn w:val="Footer"/>
    <w:rsid w:val="00BF20BF"/>
    <w:pPr>
      <w:jc w:val="center"/>
    </w:pPr>
  </w:style>
  <w:style w:type="paragraph" w:customStyle="1" w:styleId="FooterEven">
    <w:name w:val="Footer Even"/>
    <w:basedOn w:val="Footer"/>
    <w:rsid w:val="00BF20BF"/>
  </w:style>
  <w:style w:type="paragraph" w:customStyle="1" w:styleId="FooterOdd">
    <w:name w:val="Footer Odd"/>
    <w:basedOn w:val="Footer"/>
    <w:rsid w:val="00BF20BF"/>
    <w:pPr>
      <w:jc w:val="right"/>
    </w:pPr>
  </w:style>
  <w:style w:type="character" w:customStyle="1" w:styleId="FramedFooter">
    <w:name w:val="Framed Footer"/>
    <w:rsid w:val="00BF20BF"/>
    <w:rPr>
      <w:rFonts w:ascii="Arial" w:hAnsi="Arial"/>
      <w:sz w:val="18"/>
    </w:rPr>
  </w:style>
  <w:style w:type="character" w:customStyle="1" w:styleId="FramedHeader">
    <w:name w:val="Framed Header"/>
    <w:rsid w:val="00BF20BF"/>
    <w:rPr>
      <w:rFonts w:ascii="Arial" w:hAnsi="Arial"/>
      <w:dstrike w:val="0"/>
      <w:color w:val="auto"/>
      <w:sz w:val="18"/>
      <w:vertAlign w:val="baseline"/>
    </w:rPr>
  </w:style>
  <w:style w:type="paragraph" w:customStyle="1" w:styleId="HeaderEven">
    <w:name w:val="Header Even"/>
    <w:basedOn w:val="Header"/>
    <w:rsid w:val="00BF20BF"/>
  </w:style>
  <w:style w:type="paragraph" w:customStyle="1" w:styleId="HeaderOdd">
    <w:name w:val="Header Odd"/>
    <w:basedOn w:val="Header"/>
    <w:rsid w:val="00BF20BF"/>
    <w:pPr>
      <w:jc w:val="right"/>
    </w:pPr>
  </w:style>
  <w:style w:type="paragraph" w:customStyle="1" w:styleId="RecommendationHeading">
    <w:name w:val="Recommendation Heading"/>
    <w:basedOn w:val="HeadingBase"/>
    <w:next w:val="RecommendationText"/>
    <w:rsid w:val="00BF20BF"/>
    <w:pPr>
      <w:spacing w:after="240"/>
    </w:pPr>
    <w:rPr>
      <w:b/>
      <w:sz w:val="22"/>
    </w:rPr>
  </w:style>
  <w:style w:type="paragraph" w:customStyle="1" w:styleId="RecommendationText">
    <w:name w:val="Recommendation Text"/>
    <w:basedOn w:val="RecommendationBaseText"/>
    <w:rsid w:val="00BF20BF"/>
    <w:rPr>
      <w:i/>
    </w:rPr>
  </w:style>
  <w:style w:type="paragraph" w:customStyle="1" w:styleId="RecommendationBaseText">
    <w:name w:val="Recommendation Base Text"/>
    <w:basedOn w:val="Normal"/>
    <w:rsid w:val="00BF20BF"/>
  </w:style>
  <w:style w:type="paragraph" w:customStyle="1" w:styleId="TableTextBase">
    <w:name w:val="Table Text Base"/>
    <w:rsid w:val="00BF20BF"/>
    <w:pPr>
      <w:spacing w:before="40" w:after="40"/>
    </w:pPr>
    <w:rPr>
      <w:rFonts w:ascii="Arial" w:hAnsi="Arial"/>
      <w:color w:val="000000"/>
      <w:sz w:val="16"/>
      <w:szCs w:val="24"/>
    </w:rPr>
  </w:style>
  <w:style w:type="paragraph" w:customStyle="1" w:styleId="TableColumnHeadingCentred">
    <w:name w:val="Table Column Heading Centred"/>
    <w:basedOn w:val="TableColumnHeadingBase"/>
    <w:rsid w:val="00BF20BF"/>
    <w:pPr>
      <w:jc w:val="center"/>
    </w:pPr>
  </w:style>
  <w:style w:type="paragraph" w:customStyle="1" w:styleId="TableColumnHeadingBase">
    <w:name w:val="Table Column Heading Base"/>
    <w:basedOn w:val="Normal"/>
    <w:rsid w:val="00BF20BF"/>
    <w:pPr>
      <w:spacing w:before="40" w:after="40" w:line="240" w:lineRule="auto"/>
    </w:pPr>
    <w:rPr>
      <w:rFonts w:ascii="Arial" w:hAnsi="Arial"/>
      <w:b/>
      <w:color w:val="000080"/>
      <w:sz w:val="16"/>
    </w:rPr>
  </w:style>
  <w:style w:type="paragraph" w:customStyle="1" w:styleId="TableColumnHeadingLeft">
    <w:name w:val="Table Column Heading Left"/>
    <w:basedOn w:val="TableColumnHeadingBase"/>
    <w:rsid w:val="00BF20BF"/>
  </w:style>
  <w:style w:type="paragraph" w:customStyle="1" w:styleId="TableColumnHeadingRight">
    <w:name w:val="Table Column Heading Right"/>
    <w:basedOn w:val="TableColumnHeadingBase"/>
    <w:rsid w:val="00BF20BF"/>
    <w:pPr>
      <w:jc w:val="right"/>
    </w:pPr>
  </w:style>
  <w:style w:type="paragraph" w:customStyle="1" w:styleId="TableGraphic">
    <w:name w:val="Table Graphic"/>
    <w:basedOn w:val="HeadingBase"/>
    <w:next w:val="Normal"/>
    <w:rsid w:val="00BF20BF"/>
    <w:pPr>
      <w:spacing w:after="20"/>
      <w:ind w:right="-113"/>
    </w:pPr>
  </w:style>
  <w:style w:type="paragraph" w:customStyle="1" w:styleId="TableMainHeading">
    <w:name w:val="Table Main Heading"/>
    <w:basedOn w:val="HeadingBase"/>
    <w:next w:val="TableGraphic"/>
    <w:rsid w:val="00172C18"/>
    <w:pPr>
      <w:spacing w:before="240" w:after="60"/>
    </w:pPr>
    <w:rPr>
      <w:b/>
      <w:sz w:val="22"/>
    </w:rPr>
  </w:style>
  <w:style w:type="paragraph" w:customStyle="1" w:styleId="TableMainHeadingContd">
    <w:name w:val="Table Main Heading Contd"/>
    <w:basedOn w:val="HeadingBase"/>
    <w:next w:val="TableGraphic"/>
    <w:rsid w:val="00BF20BF"/>
    <w:pPr>
      <w:pageBreakBefore/>
      <w:spacing w:after="20"/>
    </w:pPr>
    <w:rPr>
      <w:b/>
      <w:sz w:val="22"/>
    </w:rPr>
  </w:style>
  <w:style w:type="paragraph" w:customStyle="1" w:styleId="TableSecondHeading">
    <w:name w:val="Table Second Heading"/>
    <w:basedOn w:val="HeadingBase"/>
    <w:next w:val="TableGraphic"/>
    <w:rsid w:val="00BF20BF"/>
    <w:pPr>
      <w:spacing w:after="20"/>
    </w:pPr>
  </w:style>
  <w:style w:type="paragraph" w:customStyle="1" w:styleId="TableTextCentered">
    <w:name w:val="Table Text Centered"/>
    <w:basedOn w:val="TableTextBase"/>
    <w:rsid w:val="00BF20BF"/>
    <w:pPr>
      <w:jc w:val="center"/>
    </w:pPr>
  </w:style>
  <w:style w:type="paragraph" w:customStyle="1" w:styleId="TableTextIndented">
    <w:name w:val="Table Text Indented"/>
    <w:basedOn w:val="TableTextBase"/>
    <w:rsid w:val="00BF20BF"/>
    <w:pPr>
      <w:ind w:left="284"/>
    </w:pPr>
  </w:style>
  <w:style w:type="paragraph" w:customStyle="1" w:styleId="TableTextLeft">
    <w:name w:val="Table Text Left"/>
    <w:basedOn w:val="TableTextBase"/>
    <w:rsid w:val="00BF20BF"/>
  </w:style>
  <w:style w:type="paragraph" w:customStyle="1" w:styleId="TableTextRight">
    <w:name w:val="Table Text Right"/>
    <w:basedOn w:val="TableTextBase"/>
    <w:rsid w:val="00BF20BF"/>
    <w:pPr>
      <w:jc w:val="right"/>
    </w:pPr>
  </w:style>
  <w:style w:type="paragraph" w:styleId="TOC1">
    <w:name w:val="toc 1"/>
    <w:basedOn w:val="HeadingBase"/>
    <w:next w:val="Normal"/>
    <w:uiPriority w:val="39"/>
    <w:rsid w:val="000450F5"/>
    <w:pPr>
      <w:tabs>
        <w:tab w:val="right" w:leader="dot" w:pos="7655"/>
      </w:tabs>
      <w:spacing w:before="120"/>
      <w:ind w:right="851"/>
    </w:pPr>
    <w:rPr>
      <w:rFonts w:ascii="Arial Bold" w:hAnsi="Arial Bold"/>
      <w:b/>
      <w:smallCaps/>
      <w:szCs w:val="22"/>
    </w:rPr>
  </w:style>
  <w:style w:type="paragraph" w:styleId="TOC2">
    <w:name w:val="toc 2"/>
    <w:basedOn w:val="HeadingBase"/>
    <w:next w:val="Normal"/>
    <w:uiPriority w:val="39"/>
    <w:rsid w:val="000450F5"/>
    <w:pPr>
      <w:tabs>
        <w:tab w:val="right" w:leader="dot" w:pos="7655"/>
      </w:tabs>
      <w:spacing w:before="40" w:after="20"/>
      <w:ind w:right="851"/>
    </w:pPr>
    <w:rPr>
      <w:color w:val="000000"/>
      <w:sz w:val="22"/>
    </w:rPr>
  </w:style>
  <w:style w:type="paragraph" w:styleId="TOC3">
    <w:name w:val="toc 3"/>
    <w:basedOn w:val="Normal"/>
    <w:next w:val="Normal"/>
    <w:uiPriority w:val="39"/>
    <w:rsid w:val="000450F5"/>
    <w:pPr>
      <w:tabs>
        <w:tab w:val="right" w:leader="dot" w:pos="7655"/>
      </w:tabs>
      <w:spacing w:before="20" w:after="0" w:line="240" w:lineRule="auto"/>
      <w:ind w:left="284" w:right="851"/>
    </w:pPr>
    <w:rPr>
      <w:rFonts w:ascii="Arial" w:hAnsi="Arial"/>
      <w:sz w:val="22"/>
    </w:rPr>
  </w:style>
  <w:style w:type="paragraph" w:styleId="TOC4">
    <w:name w:val="toc 4"/>
    <w:basedOn w:val="Normal"/>
    <w:next w:val="Normal"/>
    <w:semiHidden/>
    <w:rsid w:val="00BF20BF"/>
    <w:pPr>
      <w:numPr>
        <w:numId w:val="8"/>
      </w:numPr>
      <w:tabs>
        <w:tab w:val="right" w:leader="dot" w:pos="7700"/>
      </w:tabs>
      <w:spacing w:after="0" w:line="240" w:lineRule="auto"/>
      <w:ind w:right="851"/>
    </w:pPr>
  </w:style>
  <w:style w:type="character" w:customStyle="1" w:styleId="Italic">
    <w:name w:val="Italic"/>
    <w:rsid w:val="00BF20BF"/>
    <w:rPr>
      <w:i/>
    </w:rPr>
  </w:style>
  <w:style w:type="paragraph" w:customStyle="1" w:styleId="OneLevelNumberedParagraph">
    <w:name w:val="One Level Numbered Paragraph"/>
    <w:basedOn w:val="Normal"/>
    <w:rsid w:val="00BF20BF"/>
    <w:pPr>
      <w:numPr>
        <w:numId w:val="7"/>
      </w:numPr>
      <w:tabs>
        <w:tab w:val="clear" w:pos="283"/>
        <w:tab w:val="num" w:pos="567"/>
      </w:tabs>
      <w:ind w:left="567" w:hanging="567"/>
    </w:pPr>
  </w:style>
  <w:style w:type="paragraph" w:customStyle="1" w:styleId="BoxBullet">
    <w:name w:val="Box Bullet"/>
    <w:basedOn w:val="BoxTextBase"/>
    <w:rsid w:val="00BF20BF"/>
    <w:pPr>
      <w:numPr>
        <w:ilvl w:val="1"/>
        <w:numId w:val="7"/>
      </w:numPr>
      <w:tabs>
        <w:tab w:val="clear" w:pos="567"/>
        <w:tab w:val="num" w:pos="283"/>
      </w:tabs>
      <w:ind w:left="283" w:hanging="283"/>
    </w:pPr>
  </w:style>
  <w:style w:type="paragraph" w:customStyle="1" w:styleId="BoxDash">
    <w:name w:val="Box Dash"/>
    <w:basedOn w:val="Normal"/>
    <w:rsid w:val="00BF20BF"/>
    <w:pPr>
      <w:numPr>
        <w:ilvl w:val="2"/>
        <w:numId w:val="7"/>
      </w:numPr>
      <w:tabs>
        <w:tab w:val="clear" w:pos="850"/>
        <w:tab w:val="num" w:pos="567"/>
      </w:tabs>
      <w:ind w:left="567" w:hanging="284"/>
    </w:pPr>
  </w:style>
  <w:style w:type="paragraph" w:customStyle="1" w:styleId="BoxDoubleDot">
    <w:name w:val="Box Double Dot"/>
    <w:basedOn w:val="BoxTextBase"/>
    <w:rsid w:val="00BF20BF"/>
    <w:pPr>
      <w:numPr>
        <w:numId w:val="9"/>
      </w:numPr>
      <w:tabs>
        <w:tab w:val="clear" w:pos="283"/>
        <w:tab w:val="num" w:pos="850"/>
      </w:tabs>
      <w:ind w:left="850"/>
    </w:pPr>
  </w:style>
  <w:style w:type="paragraph" w:customStyle="1" w:styleId="RecommendationBullet">
    <w:name w:val="Recommendation Bullet"/>
    <w:basedOn w:val="RecommendationBaseText"/>
    <w:rsid w:val="00BF20BF"/>
    <w:pPr>
      <w:numPr>
        <w:ilvl w:val="1"/>
        <w:numId w:val="9"/>
      </w:numPr>
      <w:tabs>
        <w:tab w:val="clear" w:pos="567"/>
        <w:tab w:val="num" w:pos="283"/>
      </w:tabs>
      <w:ind w:left="283" w:hanging="283"/>
    </w:pPr>
  </w:style>
  <w:style w:type="paragraph" w:customStyle="1" w:styleId="RecommendationDash">
    <w:name w:val="Recommendation Dash"/>
    <w:basedOn w:val="RecommendationBaseText"/>
    <w:rsid w:val="00BF20BF"/>
    <w:pPr>
      <w:numPr>
        <w:ilvl w:val="2"/>
        <w:numId w:val="9"/>
      </w:numPr>
      <w:tabs>
        <w:tab w:val="clear" w:pos="850"/>
        <w:tab w:val="num" w:pos="567"/>
      </w:tabs>
      <w:ind w:left="567" w:hanging="284"/>
    </w:pPr>
  </w:style>
  <w:style w:type="paragraph" w:customStyle="1" w:styleId="RecommendationDoubleDot">
    <w:name w:val="Recommendation Double Dot"/>
    <w:basedOn w:val="RecommendationBaseText"/>
    <w:rsid w:val="00BF20BF"/>
    <w:pPr>
      <w:tabs>
        <w:tab w:val="num" w:pos="850"/>
      </w:tabs>
      <w:ind w:left="850" w:hanging="283"/>
    </w:pPr>
  </w:style>
  <w:style w:type="character" w:customStyle="1" w:styleId="Boldanditalic">
    <w:name w:val="Bold and italic"/>
    <w:rsid w:val="00BF20BF"/>
    <w:rPr>
      <w:b/>
      <w:i/>
    </w:rPr>
  </w:style>
  <w:style w:type="paragraph" w:customStyle="1" w:styleId="Normalnumbered">
    <w:name w:val="Normal numbered"/>
    <w:basedOn w:val="Normal"/>
    <w:rsid w:val="00BF20BF"/>
    <w:pPr>
      <w:numPr>
        <w:numId w:val="13"/>
      </w:numPr>
      <w:jc w:val="both"/>
    </w:pPr>
  </w:style>
  <w:style w:type="paragraph" w:customStyle="1" w:styleId="Romannumeral">
    <w:name w:val="Roman numeral"/>
    <w:basedOn w:val="Normal"/>
    <w:rsid w:val="00BF20BF"/>
    <w:pPr>
      <w:numPr>
        <w:numId w:val="10"/>
      </w:numPr>
    </w:pPr>
  </w:style>
  <w:style w:type="paragraph" w:customStyle="1" w:styleId="AlphaLevel3">
    <w:name w:val="Alpha Level 3"/>
    <w:basedOn w:val="Normal"/>
    <w:rsid w:val="00BF20BF"/>
    <w:pPr>
      <w:numPr>
        <w:numId w:val="11"/>
      </w:numPr>
    </w:pPr>
  </w:style>
  <w:style w:type="paragraph" w:customStyle="1" w:styleId="AlphaLevel4">
    <w:name w:val="Alpha Level 4"/>
    <w:basedOn w:val="Normal"/>
    <w:rsid w:val="00BF20BF"/>
    <w:pPr>
      <w:numPr>
        <w:numId w:val="12"/>
      </w:numPr>
      <w:jc w:val="both"/>
    </w:pPr>
  </w:style>
  <w:style w:type="paragraph" w:customStyle="1" w:styleId="NormalJustified">
    <w:name w:val="Normal Justified"/>
    <w:basedOn w:val="Normal"/>
    <w:rsid w:val="00BF20BF"/>
    <w:pPr>
      <w:jc w:val="both"/>
    </w:pPr>
  </w:style>
  <w:style w:type="paragraph" w:customStyle="1" w:styleId="RomanNumeralJustified">
    <w:name w:val="Roman Numeral Justified"/>
    <w:basedOn w:val="Romannumeral"/>
    <w:rsid w:val="00BF20BF"/>
    <w:pPr>
      <w:numPr>
        <w:numId w:val="0"/>
      </w:numPr>
      <w:tabs>
        <w:tab w:val="left" w:pos="1134"/>
      </w:tabs>
      <w:jc w:val="both"/>
    </w:pPr>
  </w:style>
  <w:style w:type="paragraph" w:customStyle="1" w:styleId="RomannumeralJustified0">
    <w:name w:val="Roman numeral Justified"/>
    <w:basedOn w:val="Romannumeral"/>
    <w:rsid w:val="00BF20BF"/>
    <w:pPr>
      <w:numPr>
        <w:numId w:val="0"/>
      </w:numPr>
      <w:jc w:val="both"/>
    </w:pPr>
  </w:style>
  <w:style w:type="paragraph" w:customStyle="1" w:styleId="Style1">
    <w:name w:val="Style1"/>
    <w:basedOn w:val="Normal"/>
    <w:rsid w:val="00BF20BF"/>
    <w:pPr>
      <w:numPr>
        <w:numId w:val="15"/>
      </w:numPr>
    </w:pPr>
  </w:style>
  <w:style w:type="paragraph" w:customStyle="1" w:styleId="CAR-Indent-Alpha-Upper">
    <w:name w:val="CAR-Indent-Alpha-Upper"/>
    <w:rsid w:val="00BF20BF"/>
    <w:pPr>
      <w:numPr>
        <w:numId w:val="14"/>
      </w:numPr>
      <w:spacing w:after="240" w:line="260" w:lineRule="exact"/>
    </w:pPr>
    <w:rPr>
      <w:rFonts w:ascii="Book Antiqua" w:hAnsi="Book Antiqua"/>
      <w:sz w:val="24"/>
      <w:szCs w:val="24"/>
      <w:lang w:eastAsia="en-US"/>
    </w:rPr>
  </w:style>
  <w:style w:type="paragraph" w:customStyle="1" w:styleId="CAR-TableText-Left">
    <w:name w:val="CAR-TableText-Left"/>
    <w:rsid w:val="00BF20BF"/>
    <w:pPr>
      <w:spacing w:before="40" w:after="40"/>
    </w:pPr>
    <w:rPr>
      <w:rFonts w:ascii="Arial" w:hAnsi="Arial"/>
      <w:sz w:val="16"/>
      <w:szCs w:val="24"/>
      <w:lang w:eastAsia="en-US"/>
    </w:rPr>
  </w:style>
  <w:style w:type="paragraph" w:customStyle="1" w:styleId="CAR-Indent-Alpha-Lower0">
    <w:name w:val="CAR-Indent-Alpha-Lower"/>
    <w:rsid w:val="00BF20BF"/>
    <w:pPr>
      <w:numPr>
        <w:numId w:val="16"/>
      </w:numPr>
      <w:spacing w:after="240" w:line="260" w:lineRule="exact"/>
    </w:pPr>
    <w:rPr>
      <w:rFonts w:ascii="Book Antiqua" w:hAnsi="Book Antiqua"/>
      <w:sz w:val="24"/>
      <w:szCs w:val="24"/>
      <w:lang w:eastAsia="en-US"/>
    </w:rPr>
  </w:style>
  <w:style w:type="paragraph" w:customStyle="1" w:styleId="CAR-Indent-Number">
    <w:name w:val="CAR-Indent-Number"/>
    <w:rsid w:val="00BF20BF"/>
    <w:pPr>
      <w:numPr>
        <w:numId w:val="17"/>
      </w:numPr>
      <w:spacing w:after="240" w:line="260" w:lineRule="exact"/>
      <w:jc w:val="both"/>
    </w:pPr>
    <w:rPr>
      <w:rFonts w:ascii="Book Antiqua" w:hAnsi="Book Antiqua"/>
      <w:sz w:val="24"/>
      <w:szCs w:val="24"/>
      <w:lang w:eastAsia="en-US"/>
    </w:rPr>
  </w:style>
  <w:style w:type="paragraph" w:customStyle="1" w:styleId="CAR-BodyText-Just">
    <w:name w:val="CAR-BodyText-Just"/>
    <w:rsid w:val="00BF20BF"/>
    <w:pPr>
      <w:spacing w:after="240" w:line="260" w:lineRule="exact"/>
      <w:jc w:val="both"/>
    </w:pPr>
    <w:rPr>
      <w:rFonts w:ascii="Book Antiqua" w:hAnsi="Book Antiqua"/>
      <w:color w:val="000000"/>
      <w:sz w:val="24"/>
      <w:szCs w:val="24"/>
      <w:lang w:eastAsia="en-US"/>
    </w:rPr>
  </w:style>
  <w:style w:type="paragraph" w:customStyle="1" w:styleId="CAR-Heading-1">
    <w:name w:val="CAR-Heading-1"/>
    <w:rsid w:val="00BF20BF"/>
    <w:pPr>
      <w:keepNext/>
      <w:spacing w:before="240" w:after="240"/>
    </w:pPr>
    <w:rPr>
      <w:rFonts w:ascii="Arial Bold" w:hAnsi="Arial Bold"/>
      <w:b/>
      <w:color w:val="000080"/>
      <w:kern w:val="32"/>
      <w:sz w:val="32"/>
      <w:szCs w:val="24"/>
      <w:lang w:eastAsia="en-US"/>
    </w:rPr>
  </w:style>
  <w:style w:type="paragraph" w:customStyle="1" w:styleId="CAR-BodyText-Left">
    <w:name w:val="CAR-BodyText-Left"/>
    <w:rsid w:val="006E37E2"/>
    <w:pPr>
      <w:spacing w:after="240" w:line="260" w:lineRule="exact"/>
    </w:pPr>
    <w:rPr>
      <w:rFonts w:ascii="Book Antiqua" w:hAnsi="Book Antiqua"/>
      <w:lang w:eastAsia="en-US"/>
    </w:rPr>
  </w:style>
  <w:style w:type="paragraph" w:customStyle="1" w:styleId="CAR-Bullet-1">
    <w:name w:val="CAR-Bullet-1"/>
    <w:rsid w:val="006E37E2"/>
    <w:pPr>
      <w:numPr>
        <w:numId w:val="18"/>
      </w:numPr>
      <w:spacing w:after="240" w:line="260" w:lineRule="exact"/>
    </w:pPr>
    <w:rPr>
      <w:rFonts w:ascii="Book Antiqua" w:hAnsi="Book Antiqua"/>
      <w:color w:val="000000"/>
      <w:lang w:eastAsia="en-US"/>
    </w:rPr>
  </w:style>
  <w:style w:type="paragraph" w:customStyle="1" w:styleId="CAR-Flush-Alpha-Lower">
    <w:name w:val="CAR-Flush-Alpha-Lower"/>
    <w:rsid w:val="006E37E2"/>
    <w:pPr>
      <w:numPr>
        <w:numId w:val="19"/>
      </w:numPr>
      <w:spacing w:after="180" w:line="260" w:lineRule="exact"/>
    </w:pPr>
    <w:rPr>
      <w:rFonts w:ascii="Book Antiqua" w:hAnsi="Book Antiqua"/>
      <w:lang w:eastAsia="en-US"/>
    </w:rPr>
  </w:style>
  <w:style w:type="paragraph" w:customStyle="1" w:styleId="CAR-Heading-2">
    <w:name w:val="CAR-Heading-2"/>
    <w:rsid w:val="00BF20BF"/>
    <w:pPr>
      <w:keepNext/>
      <w:spacing w:before="240" w:after="120"/>
    </w:pPr>
    <w:rPr>
      <w:rFonts w:ascii="Arial Bold" w:hAnsi="Arial Bold"/>
      <w:b/>
      <w:color w:val="000080"/>
      <w:sz w:val="28"/>
      <w:szCs w:val="24"/>
      <w:lang w:eastAsia="en-US"/>
    </w:rPr>
  </w:style>
  <w:style w:type="paragraph" w:customStyle="1" w:styleId="CoverTitleMain">
    <w:name w:val="Cover Title Main"/>
    <w:basedOn w:val="HeadingBase"/>
    <w:next w:val="Normal"/>
    <w:rsid w:val="00BF20BF"/>
    <w:pPr>
      <w:spacing w:before="480" w:after="480"/>
      <w:jc w:val="center"/>
    </w:pPr>
    <w:rPr>
      <w:b/>
      <w:sz w:val="48"/>
    </w:rPr>
  </w:style>
  <w:style w:type="paragraph" w:customStyle="1" w:styleId="CoverTitleSub">
    <w:name w:val="Cover Title Sub"/>
    <w:basedOn w:val="HeadingBase"/>
    <w:rsid w:val="00BF20BF"/>
    <w:pPr>
      <w:spacing w:before="1440" w:after="360"/>
      <w:jc w:val="center"/>
    </w:pPr>
    <w:rPr>
      <w:sz w:val="36"/>
    </w:rPr>
  </w:style>
  <w:style w:type="paragraph" w:customStyle="1" w:styleId="CAR-TableText-Right">
    <w:name w:val="CAR-TableText-Right"/>
    <w:rsid w:val="00BF20BF"/>
    <w:pPr>
      <w:spacing w:before="40" w:after="40"/>
      <w:jc w:val="right"/>
    </w:pPr>
    <w:rPr>
      <w:rFonts w:ascii="Arial" w:hAnsi="Arial"/>
      <w:sz w:val="16"/>
      <w:szCs w:val="24"/>
      <w:lang w:eastAsia="en-US"/>
    </w:rPr>
  </w:style>
  <w:style w:type="paragraph" w:styleId="Caption">
    <w:name w:val="caption"/>
    <w:basedOn w:val="Normal"/>
    <w:next w:val="Normal"/>
    <w:qFormat/>
    <w:rsid w:val="00BF20BF"/>
    <w:pPr>
      <w:spacing w:before="120" w:after="120"/>
    </w:pPr>
    <w:rPr>
      <w:b/>
      <w:bCs/>
    </w:rPr>
  </w:style>
  <w:style w:type="paragraph" w:customStyle="1" w:styleId="CAR-TableColHead-Centre">
    <w:name w:val="CAR-TableColHead-Centre"/>
    <w:rsid w:val="00BF20BF"/>
    <w:pPr>
      <w:spacing w:before="40" w:after="40"/>
      <w:jc w:val="center"/>
    </w:pPr>
    <w:rPr>
      <w:rFonts w:ascii="Arial" w:hAnsi="Arial"/>
      <w:b/>
      <w:color w:val="000080"/>
      <w:sz w:val="16"/>
      <w:szCs w:val="24"/>
      <w:lang w:eastAsia="en-US"/>
    </w:rPr>
  </w:style>
  <w:style w:type="paragraph" w:customStyle="1" w:styleId="CAR-TableColHead-Left">
    <w:name w:val="CAR-TableColHead-Left"/>
    <w:rsid w:val="00BF20BF"/>
    <w:pPr>
      <w:spacing w:before="40" w:after="40"/>
    </w:pPr>
    <w:rPr>
      <w:rFonts w:ascii="Arial Bold" w:hAnsi="Arial Bold"/>
      <w:b/>
      <w:color w:val="000080"/>
      <w:sz w:val="16"/>
      <w:szCs w:val="24"/>
      <w:lang w:eastAsia="en-US"/>
    </w:rPr>
  </w:style>
  <w:style w:type="paragraph" w:customStyle="1" w:styleId="CAR-TableColHead-Right">
    <w:name w:val="CAR-TableColHead-Right"/>
    <w:rsid w:val="00BF20BF"/>
    <w:pPr>
      <w:keepNext/>
      <w:spacing w:before="40" w:after="40"/>
      <w:jc w:val="right"/>
    </w:pPr>
    <w:rPr>
      <w:rFonts w:ascii="Arial" w:hAnsi="Arial"/>
      <w:b/>
      <w:color w:val="000080"/>
      <w:sz w:val="16"/>
      <w:szCs w:val="24"/>
      <w:lang w:eastAsia="en-US"/>
    </w:rPr>
  </w:style>
  <w:style w:type="paragraph" w:customStyle="1" w:styleId="CAR-TableMainHead">
    <w:name w:val="CAR-TableMainHead"/>
    <w:next w:val="Normal"/>
    <w:rsid w:val="00BF20BF"/>
    <w:pPr>
      <w:keepNext/>
      <w:spacing w:after="20"/>
    </w:pPr>
    <w:rPr>
      <w:rFonts w:ascii="Arial" w:hAnsi="Arial"/>
      <w:b/>
      <w:color w:val="000080"/>
      <w:sz w:val="22"/>
      <w:szCs w:val="24"/>
      <w:lang w:eastAsia="en-US"/>
    </w:rPr>
  </w:style>
  <w:style w:type="paragraph" w:customStyle="1" w:styleId="CAR-Heading-3">
    <w:name w:val="CAR-Heading-3"/>
    <w:rsid w:val="00BF20BF"/>
    <w:pPr>
      <w:keepNext/>
      <w:spacing w:before="40" w:after="40"/>
    </w:pPr>
    <w:rPr>
      <w:rFonts w:ascii="Arial Bold" w:hAnsi="Arial Bold"/>
      <w:color w:val="000080"/>
      <w:sz w:val="24"/>
      <w:szCs w:val="24"/>
      <w:lang w:eastAsia="en-US"/>
    </w:rPr>
  </w:style>
  <w:style w:type="paragraph" w:customStyle="1" w:styleId="CAR-Flush-Number">
    <w:name w:val="CAR-Flush-Number"/>
    <w:rsid w:val="004C4E54"/>
    <w:pPr>
      <w:numPr>
        <w:numId w:val="22"/>
      </w:numPr>
      <w:spacing w:after="240" w:line="260" w:lineRule="exact"/>
      <w:jc w:val="both"/>
    </w:pPr>
    <w:rPr>
      <w:rFonts w:ascii="Book Antiqua" w:hAnsi="Book Antiqua"/>
      <w:szCs w:val="24"/>
      <w:lang w:eastAsia="en-US"/>
    </w:rPr>
  </w:style>
  <w:style w:type="paragraph" w:customStyle="1" w:styleId="CAR-DecisionFoot-1">
    <w:name w:val="CAR-DecisionFoot-1"/>
    <w:rsid w:val="00BF20BF"/>
    <w:pPr>
      <w:spacing w:line="260" w:lineRule="exact"/>
    </w:pPr>
    <w:rPr>
      <w:rFonts w:ascii="Book Antiqua" w:hAnsi="Book Antiqua"/>
      <w:sz w:val="24"/>
      <w:szCs w:val="24"/>
      <w:lang w:eastAsia="en-US"/>
    </w:rPr>
  </w:style>
  <w:style w:type="paragraph" w:customStyle="1" w:styleId="CAR-Indent-Roman-1">
    <w:name w:val="CAR-Indent-Roman-1"/>
    <w:rsid w:val="004C4E54"/>
    <w:pPr>
      <w:numPr>
        <w:numId w:val="20"/>
      </w:numPr>
      <w:spacing w:after="240" w:line="260" w:lineRule="exact"/>
      <w:jc w:val="both"/>
    </w:pPr>
    <w:rPr>
      <w:rFonts w:ascii="Book Antiqua" w:hAnsi="Book Antiqua"/>
      <w:szCs w:val="24"/>
      <w:lang w:eastAsia="en-US"/>
    </w:rPr>
  </w:style>
  <w:style w:type="paragraph" w:customStyle="1" w:styleId="CAR-Heading-5">
    <w:name w:val="CAR-Heading-5"/>
    <w:rsid w:val="00BF20BF"/>
    <w:pPr>
      <w:spacing w:after="240"/>
      <w:jc w:val="center"/>
    </w:pPr>
    <w:rPr>
      <w:rFonts w:ascii="Arial Bold" w:hAnsi="Arial Bold"/>
      <w:b/>
      <w:color w:val="000080"/>
      <w:kern w:val="32"/>
      <w:sz w:val="28"/>
      <w:szCs w:val="24"/>
      <w:lang w:eastAsia="en-US"/>
    </w:rPr>
  </w:style>
  <w:style w:type="paragraph" w:customStyle="1" w:styleId="CAR-Heading-4">
    <w:name w:val="CAR-Heading-4"/>
    <w:rsid w:val="00BF20BF"/>
    <w:pPr>
      <w:spacing w:after="240"/>
    </w:pPr>
    <w:rPr>
      <w:rFonts w:ascii="Arial Bold" w:hAnsi="Arial Bold"/>
      <w:b/>
      <w:color w:val="000080"/>
      <w:sz w:val="22"/>
      <w:szCs w:val="24"/>
      <w:lang w:eastAsia="en-US"/>
    </w:rPr>
  </w:style>
  <w:style w:type="paragraph" w:customStyle="1" w:styleId="CAR-Flush-Alpha-Upper">
    <w:name w:val="CAR-Flush-Alpha-Upper"/>
    <w:rsid w:val="00BF20BF"/>
    <w:pPr>
      <w:numPr>
        <w:numId w:val="21"/>
      </w:numPr>
      <w:spacing w:after="240" w:line="260" w:lineRule="exact"/>
      <w:jc w:val="both"/>
    </w:pPr>
    <w:rPr>
      <w:rFonts w:ascii="Book Antiqua" w:hAnsi="Book Antiqua"/>
      <w:sz w:val="24"/>
      <w:szCs w:val="24"/>
      <w:lang w:eastAsia="en-US"/>
    </w:rPr>
  </w:style>
  <w:style w:type="paragraph" w:customStyle="1" w:styleId="CAR-DecisionFoot-2">
    <w:name w:val="CAR-DecisionFoot-2"/>
    <w:rsid w:val="00BF20BF"/>
    <w:pPr>
      <w:spacing w:line="260" w:lineRule="exact"/>
    </w:pPr>
    <w:rPr>
      <w:rFonts w:ascii="Book Antiqua" w:hAnsi="Book Antiqua"/>
      <w:b/>
      <w:sz w:val="24"/>
      <w:szCs w:val="24"/>
      <w:lang w:eastAsia="en-US"/>
    </w:rPr>
  </w:style>
  <w:style w:type="paragraph" w:customStyle="1" w:styleId="CAR-DecisionHead">
    <w:name w:val="CAR-DecisionHead"/>
    <w:rsid w:val="004C4E54"/>
    <w:pPr>
      <w:keepNext/>
      <w:keepLines/>
      <w:spacing w:before="240" w:after="60"/>
    </w:pPr>
    <w:rPr>
      <w:rFonts w:ascii="Arial" w:hAnsi="Arial"/>
      <w:b/>
      <w:szCs w:val="24"/>
      <w:lang w:eastAsia="en-US"/>
    </w:rPr>
  </w:style>
  <w:style w:type="paragraph" w:styleId="BodyText">
    <w:name w:val="Body Text"/>
    <w:basedOn w:val="Normal"/>
    <w:semiHidden/>
    <w:rsid w:val="00BF20BF"/>
    <w:pPr>
      <w:spacing w:before="360"/>
      <w:ind w:right="561"/>
      <w:jc w:val="both"/>
    </w:pPr>
  </w:style>
  <w:style w:type="paragraph" w:styleId="BalloonText">
    <w:name w:val="Balloon Text"/>
    <w:basedOn w:val="Normal"/>
    <w:semiHidden/>
    <w:rsid w:val="00BF20BF"/>
    <w:rPr>
      <w:rFonts w:ascii="Tahoma" w:hAnsi="Tahoma" w:cs="Tahoma"/>
      <w:sz w:val="16"/>
      <w:szCs w:val="16"/>
    </w:rPr>
  </w:style>
  <w:style w:type="paragraph" w:customStyle="1" w:styleId="Text-1">
    <w:name w:val="Text-1"/>
    <w:rsid w:val="00BF20BF"/>
    <w:pPr>
      <w:spacing w:before="240"/>
      <w:ind w:left="567"/>
      <w:jc w:val="both"/>
    </w:pPr>
    <w:rPr>
      <w:rFonts w:ascii="Palatino" w:hAnsi="Palatino"/>
      <w:sz w:val="24"/>
      <w:szCs w:val="24"/>
      <w:lang w:eastAsia="en-US"/>
    </w:rPr>
  </w:style>
  <w:style w:type="paragraph" w:customStyle="1" w:styleId="LDStandard1">
    <w:name w:val="LD_Standard1"/>
    <w:basedOn w:val="Normal"/>
    <w:rsid w:val="00BF20BF"/>
    <w:pPr>
      <w:keepNext/>
      <w:keepLines/>
      <w:numPr>
        <w:numId w:val="23"/>
      </w:numPr>
      <w:spacing w:before="120" w:after="60" w:line="240" w:lineRule="auto"/>
    </w:pPr>
    <w:rPr>
      <w:rFonts w:ascii="Arial" w:hAnsi="Arial" w:cs="Arial"/>
      <w:b/>
      <w:bCs/>
      <w:color w:val="auto"/>
      <w:sz w:val="22"/>
      <w:szCs w:val="22"/>
      <w:lang w:eastAsia="en-US"/>
    </w:rPr>
  </w:style>
  <w:style w:type="paragraph" w:customStyle="1" w:styleId="LDStandard2">
    <w:name w:val="LD_Standard2"/>
    <w:basedOn w:val="Normal"/>
    <w:rsid w:val="00BF20BF"/>
    <w:pPr>
      <w:numPr>
        <w:ilvl w:val="1"/>
        <w:numId w:val="23"/>
      </w:numPr>
      <w:spacing w:before="120" w:after="0" w:line="360" w:lineRule="auto"/>
      <w:jc w:val="both"/>
    </w:pPr>
    <w:rPr>
      <w:rFonts w:ascii="Arial" w:hAnsi="Arial" w:cs="Arial"/>
      <w:color w:val="auto"/>
      <w:sz w:val="22"/>
      <w:szCs w:val="22"/>
      <w:lang w:eastAsia="en-US"/>
    </w:rPr>
  </w:style>
  <w:style w:type="paragraph" w:customStyle="1" w:styleId="LDStandard3">
    <w:name w:val="LD_Standard3"/>
    <w:basedOn w:val="Normal"/>
    <w:rsid w:val="00BF20BF"/>
    <w:pPr>
      <w:numPr>
        <w:ilvl w:val="2"/>
        <w:numId w:val="23"/>
      </w:numPr>
      <w:spacing w:before="120" w:after="0" w:line="360" w:lineRule="auto"/>
      <w:jc w:val="both"/>
    </w:pPr>
    <w:rPr>
      <w:rFonts w:ascii="Arial" w:hAnsi="Arial" w:cs="Arial"/>
      <w:color w:val="auto"/>
      <w:sz w:val="22"/>
      <w:szCs w:val="22"/>
      <w:lang w:eastAsia="en-US"/>
    </w:rPr>
  </w:style>
  <w:style w:type="paragraph" w:customStyle="1" w:styleId="LDStandard4">
    <w:name w:val="LD_Standard4"/>
    <w:basedOn w:val="Normal"/>
    <w:rsid w:val="00BF20BF"/>
    <w:pPr>
      <w:numPr>
        <w:ilvl w:val="3"/>
        <w:numId w:val="23"/>
      </w:numPr>
      <w:spacing w:before="120" w:after="0" w:line="360" w:lineRule="auto"/>
      <w:jc w:val="both"/>
    </w:pPr>
    <w:rPr>
      <w:rFonts w:ascii="Arial" w:hAnsi="Arial" w:cs="Arial"/>
      <w:color w:val="auto"/>
      <w:sz w:val="22"/>
      <w:szCs w:val="22"/>
      <w:lang w:eastAsia="en-US"/>
    </w:rPr>
  </w:style>
  <w:style w:type="paragraph" w:customStyle="1" w:styleId="LDStandard5">
    <w:name w:val="LD_Standard5"/>
    <w:basedOn w:val="Normal"/>
    <w:rsid w:val="00BF20BF"/>
    <w:pPr>
      <w:numPr>
        <w:ilvl w:val="4"/>
        <w:numId w:val="23"/>
      </w:numPr>
      <w:spacing w:before="120" w:after="0" w:line="360" w:lineRule="auto"/>
      <w:jc w:val="both"/>
    </w:pPr>
    <w:rPr>
      <w:rFonts w:ascii="Arial" w:hAnsi="Arial" w:cs="Arial"/>
      <w:color w:val="auto"/>
      <w:sz w:val="22"/>
      <w:szCs w:val="22"/>
      <w:lang w:eastAsia="en-US"/>
    </w:rPr>
  </w:style>
  <w:style w:type="paragraph" w:customStyle="1" w:styleId="LDStandard6">
    <w:name w:val="LD_Standard6"/>
    <w:basedOn w:val="Normal"/>
    <w:rsid w:val="00BF20BF"/>
    <w:pPr>
      <w:numPr>
        <w:ilvl w:val="5"/>
        <w:numId w:val="23"/>
      </w:numPr>
      <w:spacing w:before="120" w:after="0" w:line="360" w:lineRule="auto"/>
      <w:jc w:val="both"/>
    </w:pPr>
    <w:rPr>
      <w:rFonts w:ascii="Arial" w:hAnsi="Arial" w:cs="Arial"/>
      <w:color w:val="auto"/>
      <w:sz w:val="22"/>
      <w:szCs w:val="22"/>
      <w:lang w:eastAsia="en-US"/>
    </w:rPr>
  </w:style>
  <w:style w:type="paragraph" w:customStyle="1" w:styleId="Level1fo">
    <w:name w:val="Level 1.fo"/>
    <w:basedOn w:val="Normal"/>
    <w:rsid w:val="00BF20BF"/>
    <w:pPr>
      <w:spacing w:before="240" w:after="0" w:line="240" w:lineRule="auto"/>
      <w:ind w:left="720"/>
    </w:pPr>
    <w:rPr>
      <w:rFonts w:ascii="Palatino" w:hAnsi="Palatino"/>
      <w:color w:val="auto"/>
      <w:sz w:val="22"/>
      <w:lang w:eastAsia="en-US"/>
    </w:rPr>
  </w:style>
  <w:style w:type="paragraph" w:customStyle="1" w:styleId="AlphaLower-2">
    <w:name w:val="AlphaLower-2"/>
    <w:rsid w:val="00BF20BF"/>
    <w:pPr>
      <w:numPr>
        <w:numId w:val="24"/>
      </w:numPr>
      <w:tabs>
        <w:tab w:val="left" w:pos="1418"/>
      </w:tabs>
      <w:spacing w:before="240"/>
      <w:jc w:val="both"/>
    </w:pPr>
    <w:rPr>
      <w:rFonts w:ascii="Palatino" w:hAnsi="Palatino"/>
      <w:sz w:val="24"/>
      <w:szCs w:val="24"/>
      <w:lang w:eastAsia="en-US"/>
    </w:rPr>
  </w:style>
  <w:style w:type="paragraph" w:customStyle="1" w:styleId="NumLarge-1">
    <w:name w:val="NumLarge-1"/>
    <w:rsid w:val="00BF20BF"/>
    <w:pPr>
      <w:numPr>
        <w:numId w:val="25"/>
      </w:numPr>
      <w:spacing w:after="240" w:line="260" w:lineRule="exact"/>
      <w:jc w:val="both"/>
    </w:pPr>
    <w:rPr>
      <w:rFonts w:ascii="Book Antiqua" w:hAnsi="Book Antiqua"/>
      <w:sz w:val="24"/>
      <w:szCs w:val="24"/>
      <w:lang w:eastAsia="en-US"/>
    </w:rPr>
  </w:style>
  <w:style w:type="paragraph" w:customStyle="1" w:styleId="NumSmall-3">
    <w:name w:val="NumSmall-3"/>
    <w:rsid w:val="00BF20BF"/>
    <w:pPr>
      <w:numPr>
        <w:numId w:val="26"/>
      </w:numPr>
      <w:tabs>
        <w:tab w:val="clear" w:pos="2127"/>
        <w:tab w:val="left" w:pos="2126"/>
      </w:tabs>
      <w:spacing w:before="240"/>
      <w:jc w:val="both"/>
    </w:pPr>
    <w:rPr>
      <w:rFonts w:ascii="Palatino" w:hAnsi="Palatino"/>
      <w:sz w:val="24"/>
      <w:szCs w:val="24"/>
      <w:lang w:eastAsia="en-US"/>
    </w:rPr>
  </w:style>
  <w:style w:type="paragraph" w:customStyle="1" w:styleId="BodyText-3">
    <w:name w:val="BodyText-3"/>
    <w:rsid w:val="00BF20BF"/>
    <w:pPr>
      <w:spacing w:before="120"/>
      <w:ind w:left="1418"/>
      <w:jc w:val="both"/>
    </w:pPr>
    <w:rPr>
      <w:rFonts w:ascii="Palatino" w:hAnsi="Palatino"/>
      <w:sz w:val="24"/>
      <w:szCs w:val="24"/>
      <w:lang w:eastAsia="en-US"/>
    </w:rPr>
  </w:style>
  <w:style w:type="paragraph" w:customStyle="1" w:styleId="BodyText-1">
    <w:name w:val="BodyText-1"/>
    <w:rsid w:val="00BF20BF"/>
    <w:pPr>
      <w:spacing w:before="240"/>
      <w:jc w:val="both"/>
    </w:pPr>
    <w:rPr>
      <w:rFonts w:ascii="Palatino" w:hAnsi="Palatino"/>
      <w:sz w:val="24"/>
      <w:szCs w:val="24"/>
      <w:lang w:eastAsia="en-US"/>
    </w:rPr>
  </w:style>
  <w:style w:type="character" w:styleId="CommentReference">
    <w:name w:val="annotation reference"/>
    <w:semiHidden/>
    <w:unhideWhenUsed/>
    <w:rsid w:val="00BF20BF"/>
    <w:rPr>
      <w:sz w:val="16"/>
      <w:szCs w:val="16"/>
    </w:rPr>
  </w:style>
  <w:style w:type="paragraph" w:customStyle="1" w:styleId="CAR-Indent-Asterisk">
    <w:name w:val="CAR-Indent-Asterisk"/>
    <w:rsid w:val="00BF20BF"/>
    <w:pPr>
      <w:numPr>
        <w:numId w:val="27"/>
      </w:numPr>
      <w:spacing w:before="240"/>
    </w:pPr>
    <w:rPr>
      <w:rFonts w:ascii="Book Antiqua" w:hAnsi="Book Antiqua"/>
      <w:sz w:val="24"/>
      <w:szCs w:val="24"/>
      <w:lang w:eastAsia="en-US"/>
    </w:rPr>
  </w:style>
  <w:style w:type="paragraph" w:styleId="CommentText">
    <w:name w:val="annotation text"/>
    <w:basedOn w:val="Normal"/>
    <w:semiHidden/>
    <w:unhideWhenUsed/>
    <w:rsid w:val="00BF20BF"/>
  </w:style>
  <w:style w:type="character" w:customStyle="1" w:styleId="CommentTextChar">
    <w:name w:val="Comment Text Char"/>
    <w:semiHidden/>
    <w:rsid w:val="00BF20BF"/>
    <w:rPr>
      <w:rFonts w:ascii="Book Antiqua" w:hAnsi="Book Antiqua"/>
      <w:color w:val="000000"/>
    </w:rPr>
  </w:style>
  <w:style w:type="paragraph" w:styleId="CommentSubject">
    <w:name w:val="annotation subject"/>
    <w:basedOn w:val="CommentText"/>
    <w:next w:val="CommentText"/>
    <w:semiHidden/>
    <w:unhideWhenUsed/>
    <w:rsid w:val="00BF20BF"/>
    <w:rPr>
      <w:b/>
      <w:bCs/>
    </w:rPr>
  </w:style>
  <w:style w:type="character" w:customStyle="1" w:styleId="CommentSubjectChar">
    <w:name w:val="Comment Subject Char"/>
    <w:semiHidden/>
    <w:rsid w:val="00BF20BF"/>
    <w:rPr>
      <w:rFonts w:ascii="Book Antiqua" w:hAnsi="Book Antiqua"/>
      <w:b/>
      <w:bCs/>
      <w:color w:val="000000"/>
    </w:rPr>
  </w:style>
  <w:style w:type="paragraph" w:customStyle="1" w:styleId="Default">
    <w:name w:val="Default"/>
    <w:rsid w:val="00BC397B"/>
    <w:pPr>
      <w:autoSpaceDE w:val="0"/>
      <w:autoSpaceDN w:val="0"/>
      <w:adjustRightInd w:val="0"/>
    </w:pPr>
    <w:rPr>
      <w:rFonts w:ascii="Book Antiqua" w:hAnsi="Book Antiqua" w:cs="Book Antiqua"/>
      <w:color w:val="000000"/>
      <w:sz w:val="24"/>
      <w:szCs w:val="24"/>
      <w:lang w:val="en-US" w:eastAsia="en-US"/>
    </w:rPr>
  </w:style>
  <w:style w:type="paragraph" w:customStyle="1" w:styleId="CAR-Indent-2">
    <w:name w:val="CAR-Indent-2"/>
    <w:rsid w:val="00BF20BF"/>
    <w:pPr>
      <w:autoSpaceDE w:val="0"/>
      <w:autoSpaceDN w:val="0"/>
      <w:adjustRightInd w:val="0"/>
      <w:spacing w:after="240" w:line="260" w:lineRule="exact"/>
      <w:ind w:left="1134"/>
    </w:pPr>
    <w:rPr>
      <w:rFonts w:ascii="Book Antiqua" w:hAnsi="Book Antiqua"/>
      <w:sz w:val="24"/>
      <w:szCs w:val="24"/>
      <w:lang w:val="en-US" w:eastAsia="en-US"/>
    </w:rPr>
  </w:style>
  <w:style w:type="paragraph" w:customStyle="1" w:styleId="CAR-Indent-1">
    <w:name w:val="CAR-Indent-1"/>
    <w:rsid w:val="00BF20BF"/>
    <w:pPr>
      <w:autoSpaceDE w:val="0"/>
      <w:autoSpaceDN w:val="0"/>
      <w:adjustRightInd w:val="0"/>
      <w:spacing w:after="240" w:line="260" w:lineRule="exact"/>
      <w:ind w:left="567"/>
    </w:pPr>
    <w:rPr>
      <w:rFonts w:ascii="Book Antiqua" w:hAnsi="Book Antiqua"/>
      <w:sz w:val="24"/>
      <w:szCs w:val="24"/>
      <w:lang w:val="en-US" w:eastAsia="en-US"/>
    </w:rPr>
  </w:style>
  <w:style w:type="paragraph" w:customStyle="1" w:styleId="CAR-Bullet-2">
    <w:name w:val="CAR-Bullet-2"/>
    <w:rsid w:val="00BF20BF"/>
    <w:pPr>
      <w:numPr>
        <w:numId w:val="28"/>
      </w:numPr>
      <w:tabs>
        <w:tab w:val="left" w:pos="1134"/>
      </w:tabs>
      <w:spacing w:after="240" w:line="260" w:lineRule="exact"/>
    </w:pPr>
    <w:rPr>
      <w:rFonts w:ascii="Book Antiqua" w:hAnsi="Book Antiqua"/>
      <w:sz w:val="24"/>
      <w:szCs w:val="24"/>
      <w:lang w:eastAsia="en-US"/>
    </w:rPr>
  </w:style>
  <w:style w:type="paragraph" w:customStyle="1" w:styleId="CAR-Indent-Alpha-lower">
    <w:name w:val="CAR-Indent-Alpha-lower"/>
    <w:rsid w:val="00BF20BF"/>
    <w:pPr>
      <w:numPr>
        <w:numId w:val="29"/>
      </w:numPr>
      <w:spacing w:after="240" w:line="260" w:lineRule="exact"/>
      <w:ind w:right="561"/>
    </w:pPr>
    <w:rPr>
      <w:rFonts w:ascii="Book Antiqua" w:hAnsi="Book Antiqua"/>
      <w:sz w:val="24"/>
      <w:szCs w:val="24"/>
      <w:lang w:eastAsia="en-US"/>
    </w:rPr>
  </w:style>
  <w:style w:type="paragraph" w:customStyle="1" w:styleId="CAR-Indent-Roman-2">
    <w:name w:val="CAR-Indent-Roman-2"/>
    <w:rsid w:val="00BF20BF"/>
    <w:pPr>
      <w:numPr>
        <w:numId w:val="30"/>
      </w:numPr>
      <w:tabs>
        <w:tab w:val="left" w:pos="1843"/>
      </w:tabs>
      <w:spacing w:after="240" w:line="260" w:lineRule="exact"/>
    </w:pPr>
    <w:rPr>
      <w:rFonts w:ascii="Book Antiqua" w:hAnsi="Book Antiqua"/>
      <w:sz w:val="24"/>
      <w:szCs w:val="24"/>
      <w:lang w:eastAsia="en-US"/>
    </w:rPr>
  </w:style>
  <w:style w:type="paragraph" w:styleId="Revision">
    <w:name w:val="Revision"/>
    <w:hidden/>
    <w:uiPriority w:val="99"/>
    <w:semiHidden/>
    <w:rsid w:val="00D402D3"/>
    <w:rPr>
      <w:rFonts w:ascii="Book Antiqua" w:hAnsi="Book Antiqua"/>
      <w:color w:val="000000"/>
      <w:sz w:val="24"/>
      <w:szCs w:val="24"/>
    </w:rPr>
  </w:style>
  <w:style w:type="character" w:customStyle="1" w:styleId="Heading1Char">
    <w:name w:val="Heading 1 Char"/>
    <w:link w:val="Heading1"/>
    <w:rsid w:val="00DA41E0"/>
    <w:rPr>
      <w:rFonts w:ascii="Arial" w:hAnsi="Arial" w:cs="Arial"/>
      <w:b/>
      <w:bCs/>
      <w:color w:val="000080"/>
      <w:kern w:val="32"/>
      <w:sz w:val="32"/>
      <w:szCs w:val="36"/>
    </w:rPr>
  </w:style>
  <w:style w:type="character" w:customStyle="1" w:styleId="FootnoteTextChar">
    <w:name w:val="Footnote Text Char"/>
    <w:link w:val="FootnoteText"/>
    <w:rsid w:val="000E175C"/>
    <w:rPr>
      <w:rFonts w:ascii="Book Antiqua" w:hAnsi="Book Antiqua"/>
      <w:color w:val="000000"/>
      <w:sz w:val="18"/>
      <w:szCs w:val="24"/>
    </w:rPr>
  </w:style>
  <w:style w:type="paragraph" w:styleId="ListParagraph">
    <w:name w:val="List Paragraph"/>
    <w:basedOn w:val="Normal"/>
    <w:uiPriority w:val="34"/>
    <w:qFormat/>
    <w:rsid w:val="00F607A8"/>
    <w:pPr>
      <w:ind w:left="720"/>
      <w:contextualSpacing/>
    </w:pPr>
  </w:style>
  <w:style w:type="paragraph" w:styleId="ListBullet">
    <w:name w:val="List Bullet"/>
    <w:basedOn w:val="Normal"/>
    <w:uiPriority w:val="99"/>
    <w:unhideWhenUsed/>
    <w:rsid w:val="00641761"/>
    <w:pPr>
      <w:numPr>
        <w:numId w:val="31"/>
      </w:numPr>
      <w:contextualSpacing/>
    </w:pPr>
  </w:style>
  <w:style w:type="paragraph" w:styleId="EndnoteText">
    <w:name w:val="endnote text"/>
    <w:basedOn w:val="Normal"/>
    <w:link w:val="EndnoteTextChar"/>
    <w:uiPriority w:val="99"/>
    <w:semiHidden/>
    <w:unhideWhenUsed/>
    <w:rsid w:val="002E303D"/>
    <w:pPr>
      <w:spacing w:after="0" w:line="240" w:lineRule="auto"/>
    </w:pPr>
    <w:rPr>
      <w:sz w:val="20"/>
      <w:szCs w:val="20"/>
      <w:lang w:val="x-none" w:eastAsia="x-none"/>
    </w:rPr>
  </w:style>
  <w:style w:type="character" w:customStyle="1" w:styleId="EndnoteTextChar">
    <w:name w:val="Endnote Text Char"/>
    <w:link w:val="EndnoteText"/>
    <w:uiPriority w:val="99"/>
    <w:semiHidden/>
    <w:rsid w:val="002E303D"/>
    <w:rPr>
      <w:rFonts w:ascii="Book Antiqua" w:hAnsi="Book Antiqua"/>
      <w:color w:val="000000"/>
    </w:rPr>
  </w:style>
  <w:style w:type="character" w:styleId="EndnoteReference">
    <w:name w:val="endnote reference"/>
    <w:uiPriority w:val="99"/>
    <w:semiHidden/>
    <w:unhideWhenUsed/>
    <w:rsid w:val="002E303D"/>
    <w:rPr>
      <w:vertAlign w:val="superscript"/>
    </w:rPr>
  </w:style>
  <w:style w:type="paragraph" w:styleId="NormalWeb">
    <w:name w:val="Normal (Web)"/>
    <w:basedOn w:val="Normal"/>
    <w:uiPriority w:val="99"/>
    <w:semiHidden/>
    <w:unhideWhenUsed/>
    <w:rsid w:val="00494F86"/>
    <w:rPr>
      <w:rFonts w:ascii="Times New Roman" w:hAnsi="Times New Roman"/>
    </w:rPr>
  </w:style>
  <w:style w:type="character" w:customStyle="1" w:styleId="A5">
    <w:name w:val="A5"/>
    <w:uiPriority w:val="99"/>
    <w:rsid w:val="000134B9"/>
    <w:rPr>
      <w:rFonts w:cs="Swiss 721 BT"/>
      <w:color w:val="000000"/>
      <w:sz w:val="20"/>
      <w:szCs w:val="20"/>
    </w:rPr>
  </w:style>
  <w:style w:type="paragraph" w:styleId="TOCHeading">
    <w:name w:val="TOC Heading"/>
    <w:basedOn w:val="Heading1"/>
    <w:next w:val="Normal"/>
    <w:uiPriority w:val="39"/>
    <w:unhideWhenUsed/>
    <w:qFormat/>
    <w:rsid w:val="00487C7E"/>
    <w:pPr>
      <w:keepLines/>
      <w:spacing w:before="480" w:after="0" w:line="276" w:lineRule="auto"/>
      <w:outlineLvl w:val="9"/>
    </w:pPr>
    <w:rPr>
      <w:rFonts w:ascii="Cambria" w:eastAsia="MS Gothic" w:hAnsi="Cambria"/>
      <w:color w:val="365F91"/>
      <w:kern w:val="0"/>
      <w:sz w:val="28"/>
      <w:szCs w:val="28"/>
      <w:lang w:val="en-US" w:eastAsia="ja-JP"/>
    </w:rPr>
  </w:style>
  <w:style w:type="paragraph" w:customStyle="1" w:styleId="Tabletextlarge">
    <w:name w:val="Table text large"/>
    <w:basedOn w:val="TableTextLeft"/>
    <w:qFormat/>
    <w:rsid w:val="00755D7D"/>
    <w:rPr>
      <w:rFonts w:ascii="Book Antiqua" w:hAnsi="Book Antiqua"/>
      <w:sz w:val="20"/>
    </w:rPr>
  </w:style>
  <w:style w:type="paragraph" w:customStyle="1" w:styleId="Copyrighttext">
    <w:name w:val="Copyright text"/>
    <w:basedOn w:val="CAR-BodyText-Left"/>
    <w:rsid w:val="00A70BEC"/>
    <w:pPr>
      <w:spacing w:before="120" w:after="120" w:line="240" w:lineRule="auto"/>
    </w:pPr>
    <w:rPr>
      <w:sz w:val="19"/>
      <w:szCs w:val="18"/>
    </w:rPr>
  </w:style>
  <w:style w:type="paragraph" w:customStyle="1" w:styleId="Copyrightheading">
    <w:name w:val="Copyright heading"/>
    <w:basedOn w:val="CAR-BodyText-Left"/>
    <w:rsid w:val="00A70BEC"/>
    <w:pPr>
      <w:spacing w:before="120" w:after="60" w:line="240" w:lineRule="auto"/>
    </w:pPr>
    <w:rPr>
      <w:b/>
      <w:sz w:val="19"/>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54F"/>
    <w:pPr>
      <w:spacing w:after="240" w:line="260" w:lineRule="exact"/>
    </w:pPr>
    <w:rPr>
      <w:rFonts w:ascii="Book Antiqua" w:hAnsi="Book Antiqua"/>
      <w:color w:val="000000"/>
      <w:sz w:val="24"/>
      <w:szCs w:val="24"/>
    </w:rPr>
  </w:style>
  <w:style w:type="paragraph" w:styleId="Heading1">
    <w:name w:val="heading 1"/>
    <w:basedOn w:val="HeadingBase"/>
    <w:next w:val="Normal"/>
    <w:link w:val="Heading1Char"/>
    <w:qFormat/>
    <w:rsid w:val="00BF20BF"/>
    <w:pPr>
      <w:spacing w:before="240" w:after="240"/>
      <w:outlineLvl w:val="0"/>
    </w:pPr>
    <w:rPr>
      <w:b/>
      <w:bCs/>
      <w:kern w:val="32"/>
      <w:sz w:val="32"/>
      <w:szCs w:val="36"/>
      <w:lang w:val="x-none" w:eastAsia="x-none"/>
    </w:rPr>
  </w:style>
  <w:style w:type="paragraph" w:styleId="Heading2">
    <w:name w:val="heading 2"/>
    <w:basedOn w:val="HeadingBase"/>
    <w:next w:val="Normal"/>
    <w:qFormat/>
    <w:rsid w:val="00BF20BF"/>
    <w:pPr>
      <w:spacing w:before="240" w:after="120"/>
      <w:outlineLvl w:val="1"/>
    </w:pPr>
    <w:rPr>
      <w:rFonts w:cs="Arial"/>
      <w:b/>
      <w:bCs/>
      <w:iCs/>
      <w:sz w:val="28"/>
      <w:szCs w:val="28"/>
    </w:rPr>
  </w:style>
  <w:style w:type="paragraph" w:styleId="Heading3">
    <w:name w:val="heading 3"/>
    <w:basedOn w:val="HeadingBase"/>
    <w:next w:val="Normal"/>
    <w:qFormat/>
    <w:rsid w:val="005776E2"/>
    <w:pPr>
      <w:spacing w:before="240" w:after="120"/>
      <w:outlineLvl w:val="2"/>
    </w:pPr>
    <w:rPr>
      <w:rFonts w:cs="Arial"/>
      <w:b/>
      <w:bCs/>
      <w:szCs w:val="26"/>
    </w:rPr>
  </w:style>
  <w:style w:type="paragraph" w:styleId="Heading4">
    <w:name w:val="heading 4"/>
    <w:basedOn w:val="HeadingBase"/>
    <w:next w:val="Normal"/>
    <w:qFormat/>
    <w:rsid w:val="00755D7D"/>
    <w:pPr>
      <w:spacing w:before="240" w:after="120"/>
      <w:outlineLvl w:val="3"/>
    </w:pPr>
    <w:rPr>
      <w:b/>
      <w:bCs/>
      <w:i/>
      <w:sz w:val="22"/>
      <w:szCs w:val="22"/>
    </w:rPr>
  </w:style>
  <w:style w:type="paragraph" w:styleId="Heading5">
    <w:name w:val="heading 5"/>
    <w:basedOn w:val="HeadingBase"/>
    <w:next w:val="Normal"/>
    <w:qFormat/>
    <w:rsid w:val="00BF20BF"/>
    <w:pPr>
      <w:spacing w:before="40" w:after="40"/>
      <w:outlineLvl w:val="4"/>
    </w:pPr>
    <w:rPr>
      <w:b/>
      <w:bCs/>
      <w:iCs/>
    </w:rPr>
  </w:style>
  <w:style w:type="paragraph" w:styleId="Heading6">
    <w:name w:val="heading 6"/>
    <w:basedOn w:val="HeadingBase"/>
    <w:next w:val="Normal"/>
    <w:qFormat/>
    <w:rsid w:val="00BF20BF"/>
    <w:pPr>
      <w:spacing w:before="360" w:after="360"/>
      <w:jc w:val="center"/>
      <w:outlineLvl w:val="5"/>
    </w:pPr>
    <w:rPr>
      <w:b/>
      <w:bCs/>
      <w:kern w:val="32"/>
      <w:sz w:val="28"/>
      <w:szCs w:val="22"/>
    </w:rPr>
  </w:style>
  <w:style w:type="paragraph" w:styleId="Heading7">
    <w:name w:val="heading 7"/>
    <w:basedOn w:val="HeadingBase"/>
    <w:next w:val="Normal"/>
    <w:qFormat/>
    <w:rsid w:val="00BF20BF"/>
    <w:pPr>
      <w:spacing w:after="120"/>
      <w:outlineLvl w:val="6"/>
    </w:pPr>
  </w:style>
  <w:style w:type="paragraph" w:styleId="Heading8">
    <w:name w:val="heading 8"/>
    <w:basedOn w:val="HeadingBase"/>
    <w:next w:val="Normal"/>
    <w:qFormat/>
    <w:rsid w:val="00BF20BF"/>
    <w:pPr>
      <w:spacing w:after="120"/>
      <w:outlineLvl w:val="7"/>
    </w:pPr>
    <w:rPr>
      <w:iCs/>
    </w:rPr>
  </w:style>
  <w:style w:type="paragraph" w:styleId="Heading9">
    <w:name w:val="heading 9"/>
    <w:basedOn w:val="HeadingBase"/>
    <w:next w:val="Normal"/>
    <w:qFormat/>
    <w:rsid w:val="00BF20BF"/>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BF20BF"/>
    <w:pPr>
      <w:keepNext/>
    </w:pPr>
    <w:rPr>
      <w:rFonts w:ascii="Arial" w:hAnsi="Arial"/>
      <w:color w:val="000080"/>
      <w:sz w:val="24"/>
      <w:szCs w:val="24"/>
    </w:rPr>
  </w:style>
  <w:style w:type="paragraph" w:styleId="NormalIndent">
    <w:name w:val="Normal Indent"/>
    <w:basedOn w:val="Normal"/>
    <w:semiHidden/>
    <w:rsid w:val="00BF20BF"/>
    <w:pPr>
      <w:ind w:left="567"/>
    </w:pPr>
  </w:style>
  <w:style w:type="paragraph" w:styleId="Header">
    <w:name w:val="header"/>
    <w:basedOn w:val="HeadingBase"/>
    <w:semiHidden/>
    <w:rsid w:val="00BF20BF"/>
    <w:rPr>
      <w:sz w:val="18"/>
    </w:rPr>
  </w:style>
  <w:style w:type="character" w:styleId="PageNumber">
    <w:name w:val="page number"/>
    <w:basedOn w:val="DefaultParagraphFont"/>
    <w:semiHidden/>
    <w:rsid w:val="00BF20BF"/>
  </w:style>
  <w:style w:type="paragraph" w:styleId="Footer">
    <w:name w:val="footer"/>
    <w:basedOn w:val="HeadingBase"/>
    <w:semiHidden/>
    <w:rsid w:val="00BF20BF"/>
    <w:rPr>
      <w:sz w:val="18"/>
    </w:rPr>
  </w:style>
  <w:style w:type="paragraph" w:customStyle="1" w:styleId="Document">
    <w:name w:val="Document"/>
    <w:basedOn w:val="Normal"/>
    <w:rsid w:val="00BF20BF"/>
    <w:pPr>
      <w:tabs>
        <w:tab w:val="num" w:pos="0"/>
      </w:tabs>
      <w:spacing w:after="120" w:line="360" w:lineRule="auto"/>
      <w:ind w:left="567" w:hanging="567"/>
      <w:jc w:val="both"/>
    </w:pPr>
    <w:rPr>
      <w:rFonts w:ascii="Arial" w:hAnsi="Arial"/>
      <w:sz w:val="22"/>
      <w:szCs w:val="22"/>
    </w:rPr>
  </w:style>
  <w:style w:type="paragraph" w:styleId="Title">
    <w:name w:val="Title"/>
    <w:basedOn w:val="Normal"/>
    <w:qFormat/>
    <w:rsid w:val="00BF20BF"/>
    <w:pPr>
      <w:spacing w:line="360" w:lineRule="auto"/>
      <w:jc w:val="center"/>
    </w:pPr>
    <w:rPr>
      <w:b/>
      <w:szCs w:val="22"/>
      <w:u w:val="single"/>
    </w:rPr>
  </w:style>
  <w:style w:type="paragraph" w:customStyle="1" w:styleId="Outline-1">
    <w:name w:val="Outline-1"/>
    <w:rsid w:val="00BF20BF"/>
    <w:pPr>
      <w:numPr>
        <w:numId w:val="1"/>
      </w:numPr>
      <w:tabs>
        <w:tab w:val="left" w:pos="567"/>
      </w:tabs>
      <w:spacing w:before="240"/>
      <w:jc w:val="both"/>
    </w:pPr>
    <w:rPr>
      <w:rFonts w:ascii="Palatino" w:hAnsi="Palatino"/>
      <w:sz w:val="24"/>
      <w:szCs w:val="24"/>
      <w:lang w:eastAsia="en-US"/>
    </w:rPr>
  </w:style>
  <w:style w:type="paragraph" w:customStyle="1" w:styleId="Outline-6">
    <w:name w:val="Outline-6"/>
    <w:rsid w:val="00BF20BF"/>
    <w:pPr>
      <w:numPr>
        <w:numId w:val="2"/>
      </w:numPr>
      <w:spacing w:before="120"/>
      <w:jc w:val="both"/>
    </w:pPr>
    <w:rPr>
      <w:rFonts w:ascii="Palatino" w:hAnsi="Palatino"/>
      <w:sz w:val="24"/>
      <w:szCs w:val="24"/>
      <w:lang w:eastAsia="en-US"/>
    </w:rPr>
  </w:style>
  <w:style w:type="paragraph" w:customStyle="1" w:styleId="SingleParagraph">
    <w:name w:val="Single Paragraph"/>
    <w:basedOn w:val="Normal"/>
    <w:rsid w:val="00BF20BF"/>
    <w:pPr>
      <w:spacing w:after="0"/>
    </w:pPr>
  </w:style>
  <w:style w:type="character" w:styleId="Hyperlink">
    <w:name w:val="Hyperlink"/>
    <w:uiPriority w:val="99"/>
    <w:rsid w:val="00BF20BF"/>
    <w:rPr>
      <w:color w:val="auto"/>
      <w:u w:val="none"/>
    </w:rPr>
  </w:style>
  <w:style w:type="character" w:styleId="FootnoteReference">
    <w:name w:val="footnote reference"/>
    <w:rsid w:val="00BF20BF"/>
    <w:rPr>
      <w:vertAlign w:val="superscript"/>
    </w:rPr>
  </w:style>
  <w:style w:type="character" w:styleId="FollowedHyperlink">
    <w:name w:val="FollowedHyperlink"/>
    <w:semiHidden/>
    <w:rsid w:val="00BF20BF"/>
    <w:rPr>
      <w:color w:val="auto"/>
      <w:u w:val="none"/>
    </w:rPr>
  </w:style>
  <w:style w:type="paragraph" w:styleId="FootnoteText">
    <w:name w:val="footnote text"/>
    <w:basedOn w:val="Normal"/>
    <w:link w:val="FootnoteTextChar"/>
    <w:rsid w:val="000E175C"/>
    <w:pPr>
      <w:tabs>
        <w:tab w:val="left" w:pos="284"/>
      </w:tabs>
      <w:spacing w:after="0" w:line="240" w:lineRule="auto"/>
      <w:ind w:left="284" w:hanging="284"/>
    </w:pPr>
    <w:rPr>
      <w:sz w:val="18"/>
      <w:lang w:val="x-none" w:eastAsia="x-none"/>
    </w:rPr>
  </w:style>
  <w:style w:type="paragraph" w:customStyle="1" w:styleId="Bullet">
    <w:name w:val="Bullet"/>
    <w:basedOn w:val="Normal"/>
    <w:rsid w:val="00BF20BF"/>
    <w:pPr>
      <w:numPr>
        <w:ilvl w:val="1"/>
        <w:numId w:val="3"/>
      </w:numPr>
      <w:tabs>
        <w:tab w:val="clear" w:pos="567"/>
        <w:tab w:val="num" w:pos="283"/>
      </w:tabs>
      <w:ind w:left="283" w:hanging="283"/>
    </w:pPr>
  </w:style>
  <w:style w:type="paragraph" w:customStyle="1" w:styleId="Dash">
    <w:name w:val="Dash"/>
    <w:basedOn w:val="Normal"/>
    <w:rsid w:val="00BF20BF"/>
    <w:pPr>
      <w:numPr>
        <w:ilvl w:val="2"/>
        <w:numId w:val="3"/>
      </w:numPr>
      <w:tabs>
        <w:tab w:val="clear" w:pos="850"/>
        <w:tab w:val="num" w:pos="567"/>
      </w:tabs>
      <w:ind w:left="567" w:hanging="284"/>
    </w:pPr>
  </w:style>
  <w:style w:type="paragraph" w:customStyle="1" w:styleId="DoubleDot">
    <w:name w:val="Double Dot"/>
    <w:basedOn w:val="Normal"/>
    <w:rsid w:val="00BF20BF"/>
    <w:pPr>
      <w:numPr>
        <w:numId w:val="4"/>
      </w:numPr>
      <w:tabs>
        <w:tab w:val="clear" w:pos="567"/>
        <w:tab w:val="num" w:pos="850"/>
      </w:tabs>
      <w:ind w:left="850" w:hanging="283"/>
    </w:pPr>
  </w:style>
  <w:style w:type="paragraph" w:customStyle="1" w:styleId="OutlineNumbered1">
    <w:name w:val="Outline Numbered 1"/>
    <w:basedOn w:val="Normal"/>
    <w:rsid w:val="00BF20BF"/>
    <w:pPr>
      <w:numPr>
        <w:ilvl w:val="1"/>
        <w:numId w:val="4"/>
      </w:numPr>
      <w:tabs>
        <w:tab w:val="clear" w:pos="1134"/>
        <w:tab w:val="num" w:pos="567"/>
      </w:tabs>
      <w:ind w:left="567"/>
    </w:pPr>
  </w:style>
  <w:style w:type="paragraph" w:customStyle="1" w:styleId="OutlineNumbered2">
    <w:name w:val="Outline Numbered 2"/>
    <w:basedOn w:val="Normal"/>
    <w:rsid w:val="00BF20BF"/>
    <w:pPr>
      <w:numPr>
        <w:ilvl w:val="2"/>
        <w:numId w:val="4"/>
      </w:numPr>
      <w:tabs>
        <w:tab w:val="clear" w:pos="1701"/>
        <w:tab w:val="num" w:pos="1134"/>
      </w:tabs>
      <w:ind w:left="1134"/>
    </w:pPr>
  </w:style>
  <w:style w:type="paragraph" w:customStyle="1" w:styleId="OutlineNumbered3">
    <w:name w:val="Outline Numbered 3"/>
    <w:basedOn w:val="Normal"/>
    <w:rsid w:val="00BF20BF"/>
    <w:pPr>
      <w:numPr>
        <w:numId w:val="5"/>
      </w:numPr>
      <w:jc w:val="both"/>
    </w:pPr>
  </w:style>
  <w:style w:type="paragraph" w:customStyle="1" w:styleId="AlphaParagraph">
    <w:name w:val="Alpha Paragraph"/>
    <w:basedOn w:val="Normal"/>
    <w:rsid w:val="00BF20BF"/>
  </w:style>
  <w:style w:type="paragraph" w:customStyle="1" w:styleId="AppendixHeading">
    <w:name w:val="Appendix Heading"/>
    <w:basedOn w:val="HeadingBase"/>
    <w:next w:val="Normal"/>
    <w:rsid w:val="00BF20BF"/>
    <w:pPr>
      <w:spacing w:before="720" w:after="360"/>
      <w:outlineLvl w:val="0"/>
    </w:pPr>
    <w:rPr>
      <w:rFonts w:ascii="Arial Bold" w:hAnsi="Arial Bold"/>
      <w:b/>
      <w:smallCaps/>
      <w:sz w:val="36"/>
      <w:szCs w:val="36"/>
    </w:rPr>
  </w:style>
  <w:style w:type="character" w:customStyle="1" w:styleId="Bold">
    <w:name w:val="Bold"/>
    <w:rsid w:val="00BF20BF"/>
    <w:rPr>
      <w:b/>
    </w:rPr>
  </w:style>
  <w:style w:type="paragraph" w:customStyle="1" w:styleId="BoxHeading">
    <w:name w:val="Box Heading"/>
    <w:basedOn w:val="HeadingBase"/>
    <w:next w:val="BoxText"/>
    <w:rsid w:val="00BF20BF"/>
    <w:pPr>
      <w:spacing w:before="120" w:after="120"/>
    </w:pPr>
    <w:rPr>
      <w:b/>
      <w:sz w:val="22"/>
    </w:rPr>
  </w:style>
  <w:style w:type="paragraph" w:customStyle="1" w:styleId="BoxText">
    <w:name w:val="Box Text"/>
    <w:basedOn w:val="BoxTextBase"/>
    <w:rsid w:val="00BF20BF"/>
  </w:style>
  <w:style w:type="paragraph" w:customStyle="1" w:styleId="BoxTextBase">
    <w:name w:val="Box Text Base"/>
    <w:basedOn w:val="Normal"/>
    <w:rsid w:val="00BF20BF"/>
    <w:pPr>
      <w:numPr>
        <w:numId w:val="6"/>
      </w:numPr>
      <w:tabs>
        <w:tab w:val="clear" w:pos="283"/>
      </w:tabs>
      <w:spacing w:before="120" w:after="120"/>
      <w:ind w:left="0" w:firstLine="0"/>
    </w:pPr>
  </w:style>
  <w:style w:type="paragraph" w:customStyle="1" w:styleId="ChartandTableFootnoteAlpha">
    <w:name w:val="Chart and Table Footnote Alpha"/>
    <w:rsid w:val="00BF20BF"/>
    <w:pPr>
      <w:tabs>
        <w:tab w:val="num" w:pos="851"/>
      </w:tabs>
      <w:ind w:left="284" w:hanging="284"/>
    </w:pPr>
    <w:rPr>
      <w:rFonts w:ascii="Arial" w:hAnsi="Arial"/>
      <w:color w:val="000000"/>
      <w:sz w:val="16"/>
      <w:szCs w:val="16"/>
    </w:rPr>
  </w:style>
  <w:style w:type="paragraph" w:customStyle="1" w:styleId="CAR-Logo">
    <w:name w:val="CAR-Logo"/>
    <w:basedOn w:val="Normal"/>
    <w:next w:val="Normal"/>
    <w:rsid w:val="00BF20BF"/>
    <w:pPr>
      <w:keepNext/>
      <w:spacing w:after="0" w:line="240" w:lineRule="auto"/>
      <w:jc w:val="center"/>
    </w:pPr>
    <w:rPr>
      <w:rFonts w:ascii="Arial" w:hAnsi="Arial"/>
      <w:color w:val="000080"/>
    </w:rPr>
  </w:style>
  <w:style w:type="paragraph" w:customStyle="1" w:styleId="ChartMainHeading">
    <w:name w:val="Chart Main Heading"/>
    <w:basedOn w:val="HeadingBase"/>
    <w:next w:val="ChartGraphic"/>
    <w:rsid w:val="00BF20BF"/>
    <w:pPr>
      <w:spacing w:after="20"/>
      <w:jc w:val="center"/>
    </w:pPr>
    <w:rPr>
      <w:b/>
      <w:sz w:val="22"/>
    </w:rPr>
  </w:style>
  <w:style w:type="paragraph" w:customStyle="1" w:styleId="ChartGraphic">
    <w:name w:val="Chart Graphic"/>
    <w:basedOn w:val="HeadingBase"/>
    <w:next w:val="Normal"/>
    <w:rsid w:val="00BF20BF"/>
    <w:pPr>
      <w:jc w:val="center"/>
    </w:pPr>
  </w:style>
  <w:style w:type="paragraph" w:customStyle="1" w:styleId="ChartorTableNote">
    <w:name w:val="Chart or Table Note"/>
    <w:next w:val="Normal"/>
    <w:rsid w:val="00BF20BF"/>
    <w:pPr>
      <w:tabs>
        <w:tab w:val="left" w:pos="240"/>
      </w:tabs>
      <w:ind w:left="240" w:hanging="240"/>
    </w:pPr>
    <w:rPr>
      <w:rFonts w:ascii="Arial" w:hAnsi="Arial"/>
      <w:color w:val="000000"/>
      <w:sz w:val="16"/>
      <w:szCs w:val="24"/>
    </w:rPr>
  </w:style>
  <w:style w:type="paragraph" w:customStyle="1" w:styleId="ChartSecondHeading">
    <w:name w:val="Chart Second Heading"/>
    <w:basedOn w:val="HeadingBase"/>
    <w:next w:val="ChartGraphic"/>
    <w:rsid w:val="00BF20BF"/>
    <w:pPr>
      <w:spacing w:after="20"/>
      <w:jc w:val="center"/>
    </w:pPr>
  </w:style>
  <w:style w:type="paragraph" w:customStyle="1" w:styleId="Classification">
    <w:name w:val="Classification"/>
    <w:basedOn w:val="HeadingBase"/>
    <w:next w:val="Footer"/>
    <w:rsid w:val="00BF20BF"/>
    <w:pPr>
      <w:spacing w:after="120"/>
      <w:jc w:val="center"/>
    </w:pPr>
    <w:rPr>
      <w:b/>
      <w:smallCaps/>
    </w:rPr>
  </w:style>
  <w:style w:type="paragraph" w:customStyle="1" w:styleId="ContentsHeading">
    <w:name w:val="Contents Heading"/>
    <w:basedOn w:val="HeadingBase"/>
    <w:next w:val="Normal"/>
    <w:rsid w:val="00BF20BF"/>
    <w:pPr>
      <w:spacing w:after="360"/>
    </w:pPr>
    <w:rPr>
      <w:smallCaps/>
      <w:sz w:val="36"/>
      <w:szCs w:val="36"/>
    </w:rPr>
  </w:style>
  <w:style w:type="paragraph" w:customStyle="1" w:styleId="CAR-CoverMain">
    <w:name w:val="CAR-CoverMain"/>
    <w:basedOn w:val="Normal"/>
    <w:next w:val="Normal"/>
    <w:rsid w:val="00BF20BF"/>
    <w:pPr>
      <w:keepNext/>
      <w:spacing w:before="2000" w:after="480" w:line="240" w:lineRule="auto"/>
      <w:jc w:val="center"/>
    </w:pPr>
    <w:rPr>
      <w:rFonts w:ascii="Arial" w:hAnsi="Arial"/>
      <w:b/>
      <w:color w:val="000080"/>
      <w:sz w:val="48"/>
    </w:rPr>
  </w:style>
  <w:style w:type="paragraph" w:customStyle="1" w:styleId="CAR-CoverSub">
    <w:name w:val="CAR-CoverSub"/>
    <w:basedOn w:val="Normal"/>
    <w:rsid w:val="00BF20BF"/>
    <w:pPr>
      <w:keepNext/>
      <w:spacing w:before="1440" w:after="360" w:line="240" w:lineRule="auto"/>
      <w:jc w:val="center"/>
    </w:pPr>
    <w:rPr>
      <w:rFonts w:ascii="Arial" w:hAnsi="Arial"/>
      <w:color w:val="000080"/>
      <w:sz w:val="36"/>
    </w:rPr>
  </w:style>
  <w:style w:type="paragraph" w:customStyle="1" w:styleId="FooterCentered">
    <w:name w:val="Footer Centered"/>
    <w:basedOn w:val="Footer"/>
    <w:rsid w:val="00BF20BF"/>
    <w:pPr>
      <w:jc w:val="center"/>
    </w:pPr>
  </w:style>
  <w:style w:type="paragraph" w:customStyle="1" w:styleId="FooterEven">
    <w:name w:val="Footer Even"/>
    <w:basedOn w:val="Footer"/>
    <w:rsid w:val="00BF20BF"/>
  </w:style>
  <w:style w:type="paragraph" w:customStyle="1" w:styleId="FooterOdd">
    <w:name w:val="Footer Odd"/>
    <w:basedOn w:val="Footer"/>
    <w:rsid w:val="00BF20BF"/>
    <w:pPr>
      <w:jc w:val="right"/>
    </w:pPr>
  </w:style>
  <w:style w:type="character" w:customStyle="1" w:styleId="FramedFooter">
    <w:name w:val="Framed Footer"/>
    <w:rsid w:val="00BF20BF"/>
    <w:rPr>
      <w:rFonts w:ascii="Arial" w:hAnsi="Arial"/>
      <w:sz w:val="18"/>
    </w:rPr>
  </w:style>
  <w:style w:type="character" w:customStyle="1" w:styleId="FramedHeader">
    <w:name w:val="Framed Header"/>
    <w:rsid w:val="00BF20BF"/>
    <w:rPr>
      <w:rFonts w:ascii="Arial" w:hAnsi="Arial"/>
      <w:dstrike w:val="0"/>
      <w:color w:val="auto"/>
      <w:sz w:val="18"/>
      <w:vertAlign w:val="baseline"/>
    </w:rPr>
  </w:style>
  <w:style w:type="paragraph" w:customStyle="1" w:styleId="HeaderEven">
    <w:name w:val="Header Even"/>
    <w:basedOn w:val="Header"/>
    <w:rsid w:val="00BF20BF"/>
  </w:style>
  <w:style w:type="paragraph" w:customStyle="1" w:styleId="HeaderOdd">
    <w:name w:val="Header Odd"/>
    <w:basedOn w:val="Header"/>
    <w:rsid w:val="00BF20BF"/>
    <w:pPr>
      <w:jc w:val="right"/>
    </w:pPr>
  </w:style>
  <w:style w:type="paragraph" w:customStyle="1" w:styleId="RecommendationHeading">
    <w:name w:val="Recommendation Heading"/>
    <w:basedOn w:val="HeadingBase"/>
    <w:next w:val="RecommendationText"/>
    <w:rsid w:val="00BF20BF"/>
    <w:pPr>
      <w:spacing w:after="240"/>
    </w:pPr>
    <w:rPr>
      <w:b/>
      <w:sz w:val="22"/>
    </w:rPr>
  </w:style>
  <w:style w:type="paragraph" w:customStyle="1" w:styleId="RecommendationText">
    <w:name w:val="Recommendation Text"/>
    <w:basedOn w:val="RecommendationBaseText"/>
    <w:rsid w:val="00BF20BF"/>
    <w:rPr>
      <w:i/>
    </w:rPr>
  </w:style>
  <w:style w:type="paragraph" w:customStyle="1" w:styleId="RecommendationBaseText">
    <w:name w:val="Recommendation Base Text"/>
    <w:basedOn w:val="Normal"/>
    <w:rsid w:val="00BF20BF"/>
  </w:style>
  <w:style w:type="paragraph" w:customStyle="1" w:styleId="TableTextBase">
    <w:name w:val="Table Text Base"/>
    <w:rsid w:val="00BF20BF"/>
    <w:pPr>
      <w:spacing w:before="40" w:after="40"/>
    </w:pPr>
    <w:rPr>
      <w:rFonts w:ascii="Arial" w:hAnsi="Arial"/>
      <w:color w:val="000000"/>
      <w:sz w:val="16"/>
      <w:szCs w:val="24"/>
    </w:rPr>
  </w:style>
  <w:style w:type="paragraph" w:customStyle="1" w:styleId="TableColumnHeadingCentred">
    <w:name w:val="Table Column Heading Centred"/>
    <w:basedOn w:val="TableColumnHeadingBase"/>
    <w:rsid w:val="00BF20BF"/>
    <w:pPr>
      <w:jc w:val="center"/>
    </w:pPr>
  </w:style>
  <w:style w:type="paragraph" w:customStyle="1" w:styleId="TableColumnHeadingBase">
    <w:name w:val="Table Column Heading Base"/>
    <w:basedOn w:val="Normal"/>
    <w:rsid w:val="00BF20BF"/>
    <w:pPr>
      <w:spacing w:before="40" w:after="40" w:line="240" w:lineRule="auto"/>
    </w:pPr>
    <w:rPr>
      <w:rFonts w:ascii="Arial" w:hAnsi="Arial"/>
      <w:b/>
      <w:color w:val="000080"/>
      <w:sz w:val="16"/>
    </w:rPr>
  </w:style>
  <w:style w:type="paragraph" w:customStyle="1" w:styleId="TableColumnHeadingLeft">
    <w:name w:val="Table Column Heading Left"/>
    <w:basedOn w:val="TableColumnHeadingBase"/>
    <w:rsid w:val="00BF20BF"/>
  </w:style>
  <w:style w:type="paragraph" w:customStyle="1" w:styleId="TableColumnHeadingRight">
    <w:name w:val="Table Column Heading Right"/>
    <w:basedOn w:val="TableColumnHeadingBase"/>
    <w:rsid w:val="00BF20BF"/>
    <w:pPr>
      <w:jc w:val="right"/>
    </w:pPr>
  </w:style>
  <w:style w:type="paragraph" w:customStyle="1" w:styleId="TableGraphic">
    <w:name w:val="Table Graphic"/>
    <w:basedOn w:val="HeadingBase"/>
    <w:next w:val="Normal"/>
    <w:rsid w:val="00BF20BF"/>
    <w:pPr>
      <w:spacing w:after="20"/>
      <w:ind w:right="-113"/>
    </w:pPr>
  </w:style>
  <w:style w:type="paragraph" w:customStyle="1" w:styleId="TableMainHeading">
    <w:name w:val="Table Main Heading"/>
    <w:basedOn w:val="HeadingBase"/>
    <w:next w:val="TableGraphic"/>
    <w:rsid w:val="00172C18"/>
    <w:pPr>
      <w:spacing w:before="240" w:after="60"/>
    </w:pPr>
    <w:rPr>
      <w:b/>
      <w:sz w:val="22"/>
    </w:rPr>
  </w:style>
  <w:style w:type="paragraph" w:customStyle="1" w:styleId="TableMainHeadingContd">
    <w:name w:val="Table Main Heading Contd"/>
    <w:basedOn w:val="HeadingBase"/>
    <w:next w:val="TableGraphic"/>
    <w:rsid w:val="00BF20BF"/>
    <w:pPr>
      <w:pageBreakBefore/>
      <w:spacing w:after="20"/>
    </w:pPr>
    <w:rPr>
      <w:b/>
      <w:sz w:val="22"/>
    </w:rPr>
  </w:style>
  <w:style w:type="paragraph" w:customStyle="1" w:styleId="TableSecondHeading">
    <w:name w:val="Table Second Heading"/>
    <w:basedOn w:val="HeadingBase"/>
    <w:next w:val="TableGraphic"/>
    <w:rsid w:val="00BF20BF"/>
    <w:pPr>
      <w:spacing w:after="20"/>
    </w:pPr>
  </w:style>
  <w:style w:type="paragraph" w:customStyle="1" w:styleId="TableTextCentered">
    <w:name w:val="Table Text Centered"/>
    <w:basedOn w:val="TableTextBase"/>
    <w:rsid w:val="00BF20BF"/>
    <w:pPr>
      <w:jc w:val="center"/>
    </w:pPr>
  </w:style>
  <w:style w:type="paragraph" w:customStyle="1" w:styleId="TableTextIndented">
    <w:name w:val="Table Text Indented"/>
    <w:basedOn w:val="TableTextBase"/>
    <w:rsid w:val="00BF20BF"/>
    <w:pPr>
      <w:ind w:left="284"/>
    </w:pPr>
  </w:style>
  <w:style w:type="paragraph" w:customStyle="1" w:styleId="TableTextLeft">
    <w:name w:val="Table Text Left"/>
    <w:basedOn w:val="TableTextBase"/>
    <w:rsid w:val="00BF20BF"/>
  </w:style>
  <w:style w:type="paragraph" w:customStyle="1" w:styleId="TableTextRight">
    <w:name w:val="Table Text Right"/>
    <w:basedOn w:val="TableTextBase"/>
    <w:rsid w:val="00BF20BF"/>
    <w:pPr>
      <w:jc w:val="right"/>
    </w:pPr>
  </w:style>
  <w:style w:type="paragraph" w:styleId="TOC1">
    <w:name w:val="toc 1"/>
    <w:basedOn w:val="HeadingBase"/>
    <w:next w:val="Normal"/>
    <w:uiPriority w:val="39"/>
    <w:rsid w:val="000450F5"/>
    <w:pPr>
      <w:tabs>
        <w:tab w:val="right" w:leader="dot" w:pos="7655"/>
      </w:tabs>
      <w:spacing w:before="120"/>
      <w:ind w:right="851"/>
    </w:pPr>
    <w:rPr>
      <w:rFonts w:ascii="Arial Bold" w:hAnsi="Arial Bold"/>
      <w:b/>
      <w:smallCaps/>
      <w:szCs w:val="22"/>
    </w:rPr>
  </w:style>
  <w:style w:type="paragraph" w:styleId="TOC2">
    <w:name w:val="toc 2"/>
    <w:basedOn w:val="HeadingBase"/>
    <w:next w:val="Normal"/>
    <w:uiPriority w:val="39"/>
    <w:rsid w:val="000450F5"/>
    <w:pPr>
      <w:tabs>
        <w:tab w:val="right" w:leader="dot" w:pos="7655"/>
      </w:tabs>
      <w:spacing w:before="40" w:after="20"/>
      <w:ind w:right="851"/>
    </w:pPr>
    <w:rPr>
      <w:color w:val="000000"/>
      <w:sz w:val="22"/>
    </w:rPr>
  </w:style>
  <w:style w:type="paragraph" w:styleId="TOC3">
    <w:name w:val="toc 3"/>
    <w:basedOn w:val="Normal"/>
    <w:next w:val="Normal"/>
    <w:uiPriority w:val="39"/>
    <w:rsid w:val="000450F5"/>
    <w:pPr>
      <w:tabs>
        <w:tab w:val="right" w:leader="dot" w:pos="7655"/>
      </w:tabs>
      <w:spacing w:before="20" w:after="0" w:line="240" w:lineRule="auto"/>
      <w:ind w:left="284" w:right="851"/>
    </w:pPr>
    <w:rPr>
      <w:rFonts w:ascii="Arial" w:hAnsi="Arial"/>
      <w:sz w:val="22"/>
    </w:rPr>
  </w:style>
  <w:style w:type="paragraph" w:styleId="TOC4">
    <w:name w:val="toc 4"/>
    <w:basedOn w:val="Normal"/>
    <w:next w:val="Normal"/>
    <w:semiHidden/>
    <w:rsid w:val="00BF20BF"/>
    <w:pPr>
      <w:numPr>
        <w:numId w:val="8"/>
      </w:numPr>
      <w:tabs>
        <w:tab w:val="right" w:leader="dot" w:pos="7700"/>
      </w:tabs>
      <w:spacing w:after="0" w:line="240" w:lineRule="auto"/>
      <w:ind w:right="851"/>
    </w:pPr>
  </w:style>
  <w:style w:type="character" w:customStyle="1" w:styleId="Italic">
    <w:name w:val="Italic"/>
    <w:rsid w:val="00BF20BF"/>
    <w:rPr>
      <w:i/>
    </w:rPr>
  </w:style>
  <w:style w:type="paragraph" w:customStyle="1" w:styleId="OneLevelNumberedParagraph">
    <w:name w:val="One Level Numbered Paragraph"/>
    <w:basedOn w:val="Normal"/>
    <w:rsid w:val="00BF20BF"/>
    <w:pPr>
      <w:numPr>
        <w:numId w:val="7"/>
      </w:numPr>
      <w:tabs>
        <w:tab w:val="clear" w:pos="283"/>
        <w:tab w:val="num" w:pos="567"/>
      </w:tabs>
      <w:ind w:left="567" w:hanging="567"/>
    </w:pPr>
  </w:style>
  <w:style w:type="paragraph" w:customStyle="1" w:styleId="BoxBullet">
    <w:name w:val="Box Bullet"/>
    <w:basedOn w:val="BoxTextBase"/>
    <w:rsid w:val="00BF20BF"/>
    <w:pPr>
      <w:numPr>
        <w:ilvl w:val="1"/>
        <w:numId w:val="7"/>
      </w:numPr>
      <w:tabs>
        <w:tab w:val="clear" w:pos="567"/>
        <w:tab w:val="num" w:pos="283"/>
      </w:tabs>
      <w:ind w:left="283" w:hanging="283"/>
    </w:pPr>
  </w:style>
  <w:style w:type="paragraph" w:customStyle="1" w:styleId="BoxDash">
    <w:name w:val="Box Dash"/>
    <w:basedOn w:val="Normal"/>
    <w:rsid w:val="00BF20BF"/>
    <w:pPr>
      <w:numPr>
        <w:ilvl w:val="2"/>
        <w:numId w:val="7"/>
      </w:numPr>
      <w:tabs>
        <w:tab w:val="clear" w:pos="850"/>
        <w:tab w:val="num" w:pos="567"/>
      </w:tabs>
      <w:ind w:left="567" w:hanging="284"/>
    </w:pPr>
  </w:style>
  <w:style w:type="paragraph" w:customStyle="1" w:styleId="BoxDoubleDot">
    <w:name w:val="Box Double Dot"/>
    <w:basedOn w:val="BoxTextBase"/>
    <w:rsid w:val="00BF20BF"/>
    <w:pPr>
      <w:numPr>
        <w:numId w:val="9"/>
      </w:numPr>
      <w:tabs>
        <w:tab w:val="clear" w:pos="283"/>
        <w:tab w:val="num" w:pos="850"/>
      </w:tabs>
      <w:ind w:left="850"/>
    </w:pPr>
  </w:style>
  <w:style w:type="paragraph" w:customStyle="1" w:styleId="RecommendationBullet">
    <w:name w:val="Recommendation Bullet"/>
    <w:basedOn w:val="RecommendationBaseText"/>
    <w:rsid w:val="00BF20BF"/>
    <w:pPr>
      <w:numPr>
        <w:ilvl w:val="1"/>
        <w:numId w:val="9"/>
      </w:numPr>
      <w:tabs>
        <w:tab w:val="clear" w:pos="567"/>
        <w:tab w:val="num" w:pos="283"/>
      </w:tabs>
      <w:ind w:left="283" w:hanging="283"/>
    </w:pPr>
  </w:style>
  <w:style w:type="paragraph" w:customStyle="1" w:styleId="RecommendationDash">
    <w:name w:val="Recommendation Dash"/>
    <w:basedOn w:val="RecommendationBaseText"/>
    <w:rsid w:val="00BF20BF"/>
    <w:pPr>
      <w:numPr>
        <w:ilvl w:val="2"/>
        <w:numId w:val="9"/>
      </w:numPr>
      <w:tabs>
        <w:tab w:val="clear" w:pos="850"/>
        <w:tab w:val="num" w:pos="567"/>
      </w:tabs>
      <w:ind w:left="567" w:hanging="284"/>
    </w:pPr>
  </w:style>
  <w:style w:type="paragraph" w:customStyle="1" w:styleId="RecommendationDoubleDot">
    <w:name w:val="Recommendation Double Dot"/>
    <w:basedOn w:val="RecommendationBaseText"/>
    <w:rsid w:val="00BF20BF"/>
    <w:pPr>
      <w:tabs>
        <w:tab w:val="num" w:pos="850"/>
      </w:tabs>
      <w:ind w:left="850" w:hanging="283"/>
    </w:pPr>
  </w:style>
  <w:style w:type="character" w:customStyle="1" w:styleId="Boldanditalic">
    <w:name w:val="Bold and italic"/>
    <w:rsid w:val="00BF20BF"/>
    <w:rPr>
      <w:b/>
      <w:i/>
    </w:rPr>
  </w:style>
  <w:style w:type="paragraph" w:customStyle="1" w:styleId="Normalnumbered">
    <w:name w:val="Normal numbered"/>
    <w:basedOn w:val="Normal"/>
    <w:rsid w:val="00BF20BF"/>
    <w:pPr>
      <w:numPr>
        <w:numId w:val="13"/>
      </w:numPr>
      <w:jc w:val="both"/>
    </w:pPr>
  </w:style>
  <w:style w:type="paragraph" w:customStyle="1" w:styleId="Romannumeral">
    <w:name w:val="Roman numeral"/>
    <w:basedOn w:val="Normal"/>
    <w:rsid w:val="00BF20BF"/>
    <w:pPr>
      <w:numPr>
        <w:numId w:val="10"/>
      </w:numPr>
    </w:pPr>
  </w:style>
  <w:style w:type="paragraph" w:customStyle="1" w:styleId="AlphaLevel3">
    <w:name w:val="Alpha Level 3"/>
    <w:basedOn w:val="Normal"/>
    <w:rsid w:val="00BF20BF"/>
    <w:pPr>
      <w:numPr>
        <w:numId w:val="11"/>
      </w:numPr>
    </w:pPr>
  </w:style>
  <w:style w:type="paragraph" w:customStyle="1" w:styleId="AlphaLevel4">
    <w:name w:val="Alpha Level 4"/>
    <w:basedOn w:val="Normal"/>
    <w:rsid w:val="00BF20BF"/>
    <w:pPr>
      <w:numPr>
        <w:numId w:val="12"/>
      </w:numPr>
      <w:jc w:val="both"/>
    </w:pPr>
  </w:style>
  <w:style w:type="paragraph" w:customStyle="1" w:styleId="NormalJustified">
    <w:name w:val="Normal Justified"/>
    <w:basedOn w:val="Normal"/>
    <w:rsid w:val="00BF20BF"/>
    <w:pPr>
      <w:jc w:val="both"/>
    </w:pPr>
  </w:style>
  <w:style w:type="paragraph" w:customStyle="1" w:styleId="RomanNumeralJustified">
    <w:name w:val="Roman Numeral Justified"/>
    <w:basedOn w:val="Romannumeral"/>
    <w:rsid w:val="00BF20BF"/>
    <w:pPr>
      <w:numPr>
        <w:numId w:val="0"/>
      </w:numPr>
      <w:tabs>
        <w:tab w:val="left" w:pos="1134"/>
      </w:tabs>
      <w:jc w:val="both"/>
    </w:pPr>
  </w:style>
  <w:style w:type="paragraph" w:customStyle="1" w:styleId="RomannumeralJustified0">
    <w:name w:val="Roman numeral Justified"/>
    <w:basedOn w:val="Romannumeral"/>
    <w:rsid w:val="00BF20BF"/>
    <w:pPr>
      <w:numPr>
        <w:numId w:val="0"/>
      </w:numPr>
      <w:jc w:val="both"/>
    </w:pPr>
  </w:style>
  <w:style w:type="paragraph" w:customStyle="1" w:styleId="Style1">
    <w:name w:val="Style1"/>
    <w:basedOn w:val="Normal"/>
    <w:rsid w:val="00BF20BF"/>
    <w:pPr>
      <w:numPr>
        <w:numId w:val="15"/>
      </w:numPr>
    </w:pPr>
  </w:style>
  <w:style w:type="paragraph" w:customStyle="1" w:styleId="CAR-Indent-Alpha-Upper">
    <w:name w:val="CAR-Indent-Alpha-Upper"/>
    <w:rsid w:val="00BF20BF"/>
    <w:pPr>
      <w:numPr>
        <w:numId w:val="14"/>
      </w:numPr>
      <w:spacing w:after="240" w:line="260" w:lineRule="exact"/>
    </w:pPr>
    <w:rPr>
      <w:rFonts w:ascii="Book Antiqua" w:hAnsi="Book Antiqua"/>
      <w:sz w:val="24"/>
      <w:szCs w:val="24"/>
      <w:lang w:eastAsia="en-US"/>
    </w:rPr>
  </w:style>
  <w:style w:type="paragraph" w:customStyle="1" w:styleId="CAR-TableText-Left">
    <w:name w:val="CAR-TableText-Left"/>
    <w:rsid w:val="00BF20BF"/>
    <w:pPr>
      <w:spacing w:before="40" w:after="40"/>
    </w:pPr>
    <w:rPr>
      <w:rFonts w:ascii="Arial" w:hAnsi="Arial"/>
      <w:sz w:val="16"/>
      <w:szCs w:val="24"/>
      <w:lang w:eastAsia="en-US"/>
    </w:rPr>
  </w:style>
  <w:style w:type="paragraph" w:customStyle="1" w:styleId="CAR-Indent-Alpha-Lower0">
    <w:name w:val="CAR-Indent-Alpha-Lower"/>
    <w:rsid w:val="00BF20BF"/>
    <w:pPr>
      <w:numPr>
        <w:numId w:val="16"/>
      </w:numPr>
      <w:spacing w:after="240" w:line="260" w:lineRule="exact"/>
    </w:pPr>
    <w:rPr>
      <w:rFonts w:ascii="Book Antiqua" w:hAnsi="Book Antiqua"/>
      <w:sz w:val="24"/>
      <w:szCs w:val="24"/>
      <w:lang w:eastAsia="en-US"/>
    </w:rPr>
  </w:style>
  <w:style w:type="paragraph" w:customStyle="1" w:styleId="CAR-Indent-Number">
    <w:name w:val="CAR-Indent-Number"/>
    <w:rsid w:val="00BF20BF"/>
    <w:pPr>
      <w:numPr>
        <w:numId w:val="17"/>
      </w:numPr>
      <w:spacing w:after="240" w:line="260" w:lineRule="exact"/>
      <w:jc w:val="both"/>
    </w:pPr>
    <w:rPr>
      <w:rFonts w:ascii="Book Antiqua" w:hAnsi="Book Antiqua"/>
      <w:sz w:val="24"/>
      <w:szCs w:val="24"/>
      <w:lang w:eastAsia="en-US"/>
    </w:rPr>
  </w:style>
  <w:style w:type="paragraph" w:customStyle="1" w:styleId="CAR-BodyText-Just">
    <w:name w:val="CAR-BodyText-Just"/>
    <w:rsid w:val="00BF20BF"/>
    <w:pPr>
      <w:spacing w:after="240" w:line="260" w:lineRule="exact"/>
      <w:jc w:val="both"/>
    </w:pPr>
    <w:rPr>
      <w:rFonts w:ascii="Book Antiqua" w:hAnsi="Book Antiqua"/>
      <w:color w:val="000000"/>
      <w:sz w:val="24"/>
      <w:szCs w:val="24"/>
      <w:lang w:eastAsia="en-US"/>
    </w:rPr>
  </w:style>
  <w:style w:type="paragraph" w:customStyle="1" w:styleId="CAR-Heading-1">
    <w:name w:val="CAR-Heading-1"/>
    <w:rsid w:val="00BF20BF"/>
    <w:pPr>
      <w:keepNext/>
      <w:spacing w:before="240" w:after="240"/>
    </w:pPr>
    <w:rPr>
      <w:rFonts w:ascii="Arial Bold" w:hAnsi="Arial Bold"/>
      <w:b/>
      <w:color w:val="000080"/>
      <w:kern w:val="32"/>
      <w:sz w:val="32"/>
      <w:szCs w:val="24"/>
      <w:lang w:eastAsia="en-US"/>
    </w:rPr>
  </w:style>
  <w:style w:type="paragraph" w:customStyle="1" w:styleId="CAR-BodyText-Left">
    <w:name w:val="CAR-BodyText-Left"/>
    <w:rsid w:val="006E37E2"/>
    <w:pPr>
      <w:spacing w:after="240" w:line="260" w:lineRule="exact"/>
    </w:pPr>
    <w:rPr>
      <w:rFonts w:ascii="Book Antiqua" w:hAnsi="Book Antiqua"/>
      <w:lang w:eastAsia="en-US"/>
    </w:rPr>
  </w:style>
  <w:style w:type="paragraph" w:customStyle="1" w:styleId="CAR-Bullet-1">
    <w:name w:val="CAR-Bullet-1"/>
    <w:rsid w:val="006E37E2"/>
    <w:pPr>
      <w:numPr>
        <w:numId w:val="18"/>
      </w:numPr>
      <w:spacing w:after="240" w:line="260" w:lineRule="exact"/>
    </w:pPr>
    <w:rPr>
      <w:rFonts w:ascii="Book Antiqua" w:hAnsi="Book Antiqua"/>
      <w:color w:val="000000"/>
      <w:lang w:eastAsia="en-US"/>
    </w:rPr>
  </w:style>
  <w:style w:type="paragraph" w:customStyle="1" w:styleId="CAR-Flush-Alpha-Lower">
    <w:name w:val="CAR-Flush-Alpha-Lower"/>
    <w:rsid w:val="006E37E2"/>
    <w:pPr>
      <w:numPr>
        <w:numId w:val="19"/>
      </w:numPr>
      <w:spacing w:after="180" w:line="260" w:lineRule="exact"/>
    </w:pPr>
    <w:rPr>
      <w:rFonts w:ascii="Book Antiqua" w:hAnsi="Book Antiqua"/>
      <w:lang w:eastAsia="en-US"/>
    </w:rPr>
  </w:style>
  <w:style w:type="paragraph" w:customStyle="1" w:styleId="CAR-Heading-2">
    <w:name w:val="CAR-Heading-2"/>
    <w:rsid w:val="00BF20BF"/>
    <w:pPr>
      <w:keepNext/>
      <w:spacing w:before="240" w:after="120"/>
    </w:pPr>
    <w:rPr>
      <w:rFonts w:ascii="Arial Bold" w:hAnsi="Arial Bold"/>
      <w:b/>
      <w:color w:val="000080"/>
      <w:sz w:val="28"/>
      <w:szCs w:val="24"/>
      <w:lang w:eastAsia="en-US"/>
    </w:rPr>
  </w:style>
  <w:style w:type="paragraph" w:customStyle="1" w:styleId="CoverTitleMain">
    <w:name w:val="Cover Title Main"/>
    <w:basedOn w:val="HeadingBase"/>
    <w:next w:val="Normal"/>
    <w:rsid w:val="00BF20BF"/>
    <w:pPr>
      <w:spacing w:before="480" w:after="480"/>
      <w:jc w:val="center"/>
    </w:pPr>
    <w:rPr>
      <w:b/>
      <w:sz w:val="48"/>
    </w:rPr>
  </w:style>
  <w:style w:type="paragraph" w:customStyle="1" w:styleId="CoverTitleSub">
    <w:name w:val="Cover Title Sub"/>
    <w:basedOn w:val="HeadingBase"/>
    <w:rsid w:val="00BF20BF"/>
    <w:pPr>
      <w:spacing w:before="1440" w:after="360"/>
      <w:jc w:val="center"/>
    </w:pPr>
    <w:rPr>
      <w:sz w:val="36"/>
    </w:rPr>
  </w:style>
  <w:style w:type="paragraph" w:customStyle="1" w:styleId="CAR-TableText-Right">
    <w:name w:val="CAR-TableText-Right"/>
    <w:rsid w:val="00BF20BF"/>
    <w:pPr>
      <w:spacing w:before="40" w:after="40"/>
      <w:jc w:val="right"/>
    </w:pPr>
    <w:rPr>
      <w:rFonts w:ascii="Arial" w:hAnsi="Arial"/>
      <w:sz w:val="16"/>
      <w:szCs w:val="24"/>
      <w:lang w:eastAsia="en-US"/>
    </w:rPr>
  </w:style>
  <w:style w:type="paragraph" w:styleId="Caption">
    <w:name w:val="caption"/>
    <w:basedOn w:val="Normal"/>
    <w:next w:val="Normal"/>
    <w:qFormat/>
    <w:rsid w:val="00BF20BF"/>
    <w:pPr>
      <w:spacing w:before="120" w:after="120"/>
    </w:pPr>
    <w:rPr>
      <w:b/>
      <w:bCs/>
    </w:rPr>
  </w:style>
  <w:style w:type="paragraph" w:customStyle="1" w:styleId="CAR-TableColHead-Centre">
    <w:name w:val="CAR-TableColHead-Centre"/>
    <w:rsid w:val="00BF20BF"/>
    <w:pPr>
      <w:spacing w:before="40" w:after="40"/>
      <w:jc w:val="center"/>
    </w:pPr>
    <w:rPr>
      <w:rFonts w:ascii="Arial" w:hAnsi="Arial"/>
      <w:b/>
      <w:color w:val="000080"/>
      <w:sz w:val="16"/>
      <w:szCs w:val="24"/>
      <w:lang w:eastAsia="en-US"/>
    </w:rPr>
  </w:style>
  <w:style w:type="paragraph" w:customStyle="1" w:styleId="CAR-TableColHead-Left">
    <w:name w:val="CAR-TableColHead-Left"/>
    <w:rsid w:val="00BF20BF"/>
    <w:pPr>
      <w:spacing w:before="40" w:after="40"/>
    </w:pPr>
    <w:rPr>
      <w:rFonts w:ascii="Arial Bold" w:hAnsi="Arial Bold"/>
      <w:b/>
      <w:color w:val="000080"/>
      <w:sz w:val="16"/>
      <w:szCs w:val="24"/>
      <w:lang w:eastAsia="en-US"/>
    </w:rPr>
  </w:style>
  <w:style w:type="paragraph" w:customStyle="1" w:styleId="CAR-TableColHead-Right">
    <w:name w:val="CAR-TableColHead-Right"/>
    <w:rsid w:val="00BF20BF"/>
    <w:pPr>
      <w:keepNext/>
      <w:spacing w:before="40" w:after="40"/>
      <w:jc w:val="right"/>
    </w:pPr>
    <w:rPr>
      <w:rFonts w:ascii="Arial" w:hAnsi="Arial"/>
      <w:b/>
      <w:color w:val="000080"/>
      <w:sz w:val="16"/>
      <w:szCs w:val="24"/>
      <w:lang w:eastAsia="en-US"/>
    </w:rPr>
  </w:style>
  <w:style w:type="paragraph" w:customStyle="1" w:styleId="CAR-TableMainHead">
    <w:name w:val="CAR-TableMainHead"/>
    <w:next w:val="Normal"/>
    <w:rsid w:val="00BF20BF"/>
    <w:pPr>
      <w:keepNext/>
      <w:spacing w:after="20"/>
    </w:pPr>
    <w:rPr>
      <w:rFonts w:ascii="Arial" w:hAnsi="Arial"/>
      <w:b/>
      <w:color w:val="000080"/>
      <w:sz w:val="22"/>
      <w:szCs w:val="24"/>
      <w:lang w:eastAsia="en-US"/>
    </w:rPr>
  </w:style>
  <w:style w:type="paragraph" w:customStyle="1" w:styleId="CAR-Heading-3">
    <w:name w:val="CAR-Heading-3"/>
    <w:rsid w:val="00BF20BF"/>
    <w:pPr>
      <w:keepNext/>
      <w:spacing w:before="40" w:after="40"/>
    </w:pPr>
    <w:rPr>
      <w:rFonts w:ascii="Arial Bold" w:hAnsi="Arial Bold"/>
      <w:color w:val="000080"/>
      <w:sz w:val="24"/>
      <w:szCs w:val="24"/>
      <w:lang w:eastAsia="en-US"/>
    </w:rPr>
  </w:style>
  <w:style w:type="paragraph" w:customStyle="1" w:styleId="CAR-Flush-Number">
    <w:name w:val="CAR-Flush-Number"/>
    <w:rsid w:val="004C4E54"/>
    <w:pPr>
      <w:numPr>
        <w:numId w:val="22"/>
      </w:numPr>
      <w:spacing w:after="240" w:line="260" w:lineRule="exact"/>
      <w:jc w:val="both"/>
    </w:pPr>
    <w:rPr>
      <w:rFonts w:ascii="Book Antiqua" w:hAnsi="Book Antiqua"/>
      <w:szCs w:val="24"/>
      <w:lang w:eastAsia="en-US"/>
    </w:rPr>
  </w:style>
  <w:style w:type="paragraph" w:customStyle="1" w:styleId="CAR-DecisionFoot-1">
    <w:name w:val="CAR-DecisionFoot-1"/>
    <w:rsid w:val="00BF20BF"/>
    <w:pPr>
      <w:spacing w:line="260" w:lineRule="exact"/>
    </w:pPr>
    <w:rPr>
      <w:rFonts w:ascii="Book Antiqua" w:hAnsi="Book Antiqua"/>
      <w:sz w:val="24"/>
      <w:szCs w:val="24"/>
      <w:lang w:eastAsia="en-US"/>
    </w:rPr>
  </w:style>
  <w:style w:type="paragraph" w:customStyle="1" w:styleId="CAR-Indent-Roman-1">
    <w:name w:val="CAR-Indent-Roman-1"/>
    <w:rsid w:val="004C4E54"/>
    <w:pPr>
      <w:numPr>
        <w:numId w:val="20"/>
      </w:numPr>
      <w:spacing w:after="240" w:line="260" w:lineRule="exact"/>
      <w:jc w:val="both"/>
    </w:pPr>
    <w:rPr>
      <w:rFonts w:ascii="Book Antiqua" w:hAnsi="Book Antiqua"/>
      <w:szCs w:val="24"/>
      <w:lang w:eastAsia="en-US"/>
    </w:rPr>
  </w:style>
  <w:style w:type="paragraph" w:customStyle="1" w:styleId="CAR-Heading-5">
    <w:name w:val="CAR-Heading-5"/>
    <w:rsid w:val="00BF20BF"/>
    <w:pPr>
      <w:spacing w:after="240"/>
      <w:jc w:val="center"/>
    </w:pPr>
    <w:rPr>
      <w:rFonts w:ascii="Arial Bold" w:hAnsi="Arial Bold"/>
      <w:b/>
      <w:color w:val="000080"/>
      <w:kern w:val="32"/>
      <w:sz w:val="28"/>
      <w:szCs w:val="24"/>
      <w:lang w:eastAsia="en-US"/>
    </w:rPr>
  </w:style>
  <w:style w:type="paragraph" w:customStyle="1" w:styleId="CAR-Heading-4">
    <w:name w:val="CAR-Heading-4"/>
    <w:rsid w:val="00BF20BF"/>
    <w:pPr>
      <w:spacing w:after="240"/>
    </w:pPr>
    <w:rPr>
      <w:rFonts w:ascii="Arial Bold" w:hAnsi="Arial Bold"/>
      <w:b/>
      <w:color w:val="000080"/>
      <w:sz w:val="22"/>
      <w:szCs w:val="24"/>
      <w:lang w:eastAsia="en-US"/>
    </w:rPr>
  </w:style>
  <w:style w:type="paragraph" w:customStyle="1" w:styleId="CAR-Flush-Alpha-Upper">
    <w:name w:val="CAR-Flush-Alpha-Upper"/>
    <w:rsid w:val="00BF20BF"/>
    <w:pPr>
      <w:numPr>
        <w:numId w:val="21"/>
      </w:numPr>
      <w:spacing w:after="240" w:line="260" w:lineRule="exact"/>
      <w:jc w:val="both"/>
    </w:pPr>
    <w:rPr>
      <w:rFonts w:ascii="Book Antiqua" w:hAnsi="Book Antiqua"/>
      <w:sz w:val="24"/>
      <w:szCs w:val="24"/>
      <w:lang w:eastAsia="en-US"/>
    </w:rPr>
  </w:style>
  <w:style w:type="paragraph" w:customStyle="1" w:styleId="CAR-DecisionFoot-2">
    <w:name w:val="CAR-DecisionFoot-2"/>
    <w:rsid w:val="00BF20BF"/>
    <w:pPr>
      <w:spacing w:line="260" w:lineRule="exact"/>
    </w:pPr>
    <w:rPr>
      <w:rFonts w:ascii="Book Antiqua" w:hAnsi="Book Antiqua"/>
      <w:b/>
      <w:sz w:val="24"/>
      <w:szCs w:val="24"/>
      <w:lang w:eastAsia="en-US"/>
    </w:rPr>
  </w:style>
  <w:style w:type="paragraph" w:customStyle="1" w:styleId="CAR-DecisionHead">
    <w:name w:val="CAR-DecisionHead"/>
    <w:rsid w:val="004C4E54"/>
    <w:pPr>
      <w:keepNext/>
      <w:keepLines/>
      <w:spacing w:before="240" w:after="60"/>
    </w:pPr>
    <w:rPr>
      <w:rFonts w:ascii="Arial" w:hAnsi="Arial"/>
      <w:b/>
      <w:szCs w:val="24"/>
      <w:lang w:eastAsia="en-US"/>
    </w:rPr>
  </w:style>
  <w:style w:type="paragraph" w:styleId="BodyText">
    <w:name w:val="Body Text"/>
    <w:basedOn w:val="Normal"/>
    <w:semiHidden/>
    <w:rsid w:val="00BF20BF"/>
    <w:pPr>
      <w:spacing w:before="360"/>
      <w:ind w:right="561"/>
      <w:jc w:val="both"/>
    </w:pPr>
  </w:style>
  <w:style w:type="paragraph" w:styleId="BalloonText">
    <w:name w:val="Balloon Text"/>
    <w:basedOn w:val="Normal"/>
    <w:semiHidden/>
    <w:rsid w:val="00BF20BF"/>
    <w:rPr>
      <w:rFonts w:ascii="Tahoma" w:hAnsi="Tahoma" w:cs="Tahoma"/>
      <w:sz w:val="16"/>
      <w:szCs w:val="16"/>
    </w:rPr>
  </w:style>
  <w:style w:type="paragraph" w:customStyle="1" w:styleId="Text-1">
    <w:name w:val="Text-1"/>
    <w:rsid w:val="00BF20BF"/>
    <w:pPr>
      <w:spacing w:before="240"/>
      <w:ind w:left="567"/>
      <w:jc w:val="both"/>
    </w:pPr>
    <w:rPr>
      <w:rFonts w:ascii="Palatino" w:hAnsi="Palatino"/>
      <w:sz w:val="24"/>
      <w:szCs w:val="24"/>
      <w:lang w:eastAsia="en-US"/>
    </w:rPr>
  </w:style>
  <w:style w:type="paragraph" w:customStyle="1" w:styleId="LDStandard1">
    <w:name w:val="LD_Standard1"/>
    <w:basedOn w:val="Normal"/>
    <w:rsid w:val="00BF20BF"/>
    <w:pPr>
      <w:keepNext/>
      <w:keepLines/>
      <w:numPr>
        <w:numId w:val="23"/>
      </w:numPr>
      <w:spacing w:before="120" w:after="60" w:line="240" w:lineRule="auto"/>
    </w:pPr>
    <w:rPr>
      <w:rFonts w:ascii="Arial" w:hAnsi="Arial" w:cs="Arial"/>
      <w:b/>
      <w:bCs/>
      <w:color w:val="auto"/>
      <w:sz w:val="22"/>
      <w:szCs w:val="22"/>
      <w:lang w:eastAsia="en-US"/>
    </w:rPr>
  </w:style>
  <w:style w:type="paragraph" w:customStyle="1" w:styleId="LDStandard2">
    <w:name w:val="LD_Standard2"/>
    <w:basedOn w:val="Normal"/>
    <w:rsid w:val="00BF20BF"/>
    <w:pPr>
      <w:numPr>
        <w:ilvl w:val="1"/>
        <w:numId w:val="23"/>
      </w:numPr>
      <w:spacing w:before="120" w:after="0" w:line="360" w:lineRule="auto"/>
      <w:jc w:val="both"/>
    </w:pPr>
    <w:rPr>
      <w:rFonts w:ascii="Arial" w:hAnsi="Arial" w:cs="Arial"/>
      <w:color w:val="auto"/>
      <w:sz w:val="22"/>
      <w:szCs w:val="22"/>
      <w:lang w:eastAsia="en-US"/>
    </w:rPr>
  </w:style>
  <w:style w:type="paragraph" w:customStyle="1" w:styleId="LDStandard3">
    <w:name w:val="LD_Standard3"/>
    <w:basedOn w:val="Normal"/>
    <w:rsid w:val="00BF20BF"/>
    <w:pPr>
      <w:numPr>
        <w:ilvl w:val="2"/>
        <w:numId w:val="23"/>
      </w:numPr>
      <w:spacing w:before="120" w:after="0" w:line="360" w:lineRule="auto"/>
      <w:jc w:val="both"/>
    </w:pPr>
    <w:rPr>
      <w:rFonts w:ascii="Arial" w:hAnsi="Arial" w:cs="Arial"/>
      <w:color w:val="auto"/>
      <w:sz w:val="22"/>
      <w:szCs w:val="22"/>
      <w:lang w:eastAsia="en-US"/>
    </w:rPr>
  </w:style>
  <w:style w:type="paragraph" w:customStyle="1" w:styleId="LDStandard4">
    <w:name w:val="LD_Standard4"/>
    <w:basedOn w:val="Normal"/>
    <w:rsid w:val="00BF20BF"/>
    <w:pPr>
      <w:numPr>
        <w:ilvl w:val="3"/>
        <w:numId w:val="23"/>
      </w:numPr>
      <w:spacing w:before="120" w:after="0" w:line="360" w:lineRule="auto"/>
      <w:jc w:val="both"/>
    </w:pPr>
    <w:rPr>
      <w:rFonts w:ascii="Arial" w:hAnsi="Arial" w:cs="Arial"/>
      <w:color w:val="auto"/>
      <w:sz w:val="22"/>
      <w:szCs w:val="22"/>
      <w:lang w:eastAsia="en-US"/>
    </w:rPr>
  </w:style>
  <w:style w:type="paragraph" w:customStyle="1" w:styleId="LDStandard5">
    <w:name w:val="LD_Standard5"/>
    <w:basedOn w:val="Normal"/>
    <w:rsid w:val="00BF20BF"/>
    <w:pPr>
      <w:numPr>
        <w:ilvl w:val="4"/>
        <w:numId w:val="23"/>
      </w:numPr>
      <w:spacing w:before="120" w:after="0" w:line="360" w:lineRule="auto"/>
      <w:jc w:val="both"/>
    </w:pPr>
    <w:rPr>
      <w:rFonts w:ascii="Arial" w:hAnsi="Arial" w:cs="Arial"/>
      <w:color w:val="auto"/>
      <w:sz w:val="22"/>
      <w:szCs w:val="22"/>
      <w:lang w:eastAsia="en-US"/>
    </w:rPr>
  </w:style>
  <w:style w:type="paragraph" w:customStyle="1" w:styleId="LDStandard6">
    <w:name w:val="LD_Standard6"/>
    <w:basedOn w:val="Normal"/>
    <w:rsid w:val="00BF20BF"/>
    <w:pPr>
      <w:numPr>
        <w:ilvl w:val="5"/>
        <w:numId w:val="23"/>
      </w:numPr>
      <w:spacing w:before="120" w:after="0" w:line="360" w:lineRule="auto"/>
      <w:jc w:val="both"/>
    </w:pPr>
    <w:rPr>
      <w:rFonts w:ascii="Arial" w:hAnsi="Arial" w:cs="Arial"/>
      <w:color w:val="auto"/>
      <w:sz w:val="22"/>
      <w:szCs w:val="22"/>
      <w:lang w:eastAsia="en-US"/>
    </w:rPr>
  </w:style>
  <w:style w:type="paragraph" w:customStyle="1" w:styleId="Level1fo">
    <w:name w:val="Level 1.fo"/>
    <w:basedOn w:val="Normal"/>
    <w:rsid w:val="00BF20BF"/>
    <w:pPr>
      <w:spacing w:before="240" w:after="0" w:line="240" w:lineRule="auto"/>
      <w:ind w:left="720"/>
    </w:pPr>
    <w:rPr>
      <w:rFonts w:ascii="Palatino" w:hAnsi="Palatino"/>
      <w:color w:val="auto"/>
      <w:sz w:val="22"/>
      <w:lang w:eastAsia="en-US"/>
    </w:rPr>
  </w:style>
  <w:style w:type="paragraph" w:customStyle="1" w:styleId="AlphaLower-2">
    <w:name w:val="AlphaLower-2"/>
    <w:rsid w:val="00BF20BF"/>
    <w:pPr>
      <w:numPr>
        <w:numId w:val="24"/>
      </w:numPr>
      <w:tabs>
        <w:tab w:val="left" w:pos="1418"/>
      </w:tabs>
      <w:spacing w:before="240"/>
      <w:jc w:val="both"/>
    </w:pPr>
    <w:rPr>
      <w:rFonts w:ascii="Palatino" w:hAnsi="Palatino"/>
      <w:sz w:val="24"/>
      <w:szCs w:val="24"/>
      <w:lang w:eastAsia="en-US"/>
    </w:rPr>
  </w:style>
  <w:style w:type="paragraph" w:customStyle="1" w:styleId="NumLarge-1">
    <w:name w:val="NumLarge-1"/>
    <w:rsid w:val="00BF20BF"/>
    <w:pPr>
      <w:numPr>
        <w:numId w:val="25"/>
      </w:numPr>
      <w:spacing w:after="240" w:line="260" w:lineRule="exact"/>
      <w:jc w:val="both"/>
    </w:pPr>
    <w:rPr>
      <w:rFonts w:ascii="Book Antiqua" w:hAnsi="Book Antiqua"/>
      <w:sz w:val="24"/>
      <w:szCs w:val="24"/>
      <w:lang w:eastAsia="en-US"/>
    </w:rPr>
  </w:style>
  <w:style w:type="paragraph" w:customStyle="1" w:styleId="NumSmall-3">
    <w:name w:val="NumSmall-3"/>
    <w:rsid w:val="00BF20BF"/>
    <w:pPr>
      <w:numPr>
        <w:numId w:val="26"/>
      </w:numPr>
      <w:tabs>
        <w:tab w:val="clear" w:pos="2127"/>
        <w:tab w:val="left" w:pos="2126"/>
      </w:tabs>
      <w:spacing w:before="240"/>
      <w:jc w:val="both"/>
    </w:pPr>
    <w:rPr>
      <w:rFonts w:ascii="Palatino" w:hAnsi="Palatino"/>
      <w:sz w:val="24"/>
      <w:szCs w:val="24"/>
      <w:lang w:eastAsia="en-US"/>
    </w:rPr>
  </w:style>
  <w:style w:type="paragraph" w:customStyle="1" w:styleId="BodyText-3">
    <w:name w:val="BodyText-3"/>
    <w:rsid w:val="00BF20BF"/>
    <w:pPr>
      <w:spacing w:before="120"/>
      <w:ind w:left="1418"/>
      <w:jc w:val="both"/>
    </w:pPr>
    <w:rPr>
      <w:rFonts w:ascii="Palatino" w:hAnsi="Palatino"/>
      <w:sz w:val="24"/>
      <w:szCs w:val="24"/>
      <w:lang w:eastAsia="en-US"/>
    </w:rPr>
  </w:style>
  <w:style w:type="paragraph" w:customStyle="1" w:styleId="BodyText-1">
    <w:name w:val="BodyText-1"/>
    <w:rsid w:val="00BF20BF"/>
    <w:pPr>
      <w:spacing w:before="240"/>
      <w:jc w:val="both"/>
    </w:pPr>
    <w:rPr>
      <w:rFonts w:ascii="Palatino" w:hAnsi="Palatino"/>
      <w:sz w:val="24"/>
      <w:szCs w:val="24"/>
      <w:lang w:eastAsia="en-US"/>
    </w:rPr>
  </w:style>
  <w:style w:type="character" w:styleId="CommentReference">
    <w:name w:val="annotation reference"/>
    <w:semiHidden/>
    <w:unhideWhenUsed/>
    <w:rsid w:val="00BF20BF"/>
    <w:rPr>
      <w:sz w:val="16"/>
      <w:szCs w:val="16"/>
    </w:rPr>
  </w:style>
  <w:style w:type="paragraph" w:customStyle="1" w:styleId="CAR-Indent-Asterisk">
    <w:name w:val="CAR-Indent-Asterisk"/>
    <w:rsid w:val="00BF20BF"/>
    <w:pPr>
      <w:numPr>
        <w:numId w:val="27"/>
      </w:numPr>
      <w:spacing w:before="240"/>
    </w:pPr>
    <w:rPr>
      <w:rFonts w:ascii="Book Antiqua" w:hAnsi="Book Antiqua"/>
      <w:sz w:val="24"/>
      <w:szCs w:val="24"/>
      <w:lang w:eastAsia="en-US"/>
    </w:rPr>
  </w:style>
  <w:style w:type="paragraph" w:styleId="CommentText">
    <w:name w:val="annotation text"/>
    <w:basedOn w:val="Normal"/>
    <w:semiHidden/>
    <w:unhideWhenUsed/>
    <w:rsid w:val="00BF20BF"/>
  </w:style>
  <w:style w:type="character" w:customStyle="1" w:styleId="CommentTextChar">
    <w:name w:val="Comment Text Char"/>
    <w:semiHidden/>
    <w:rsid w:val="00BF20BF"/>
    <w:rPr>
      <w:rFonts w:ascii="Book Antiqua" w:hAnsi="Book Antiqua"/>
      <w:color w:val="000000"/>
    </w:rPr>
  </w:style>
  <w:style w:type="paragraph" w:styleId="CommentSubject">
    <w:name w:val="annotation subject"/>
    <w:basedOn w:val="CommentText"/>
    <w:next w:val="CommentText"/>
    <w:semiHidden/>
    <w:unhideWhenUsed/>
    <w:rsid w:val="00BF20BF"/>
    <w:rPr>
      <w:b/>
      <w:bCs/>
    </w:rPr>
  </w:style>
  <w:style w:type="character" w:customStyle="1" w:styleId="CommentSubjectChar">
    <w:name w:val="Comment Subject Char"/>
    <w:semiHidden/>
    <w:rsid w:val="00BF20BF"/>
    <w:rPr>
      <w:rFonts w:ascii="Book Antiqua" w:hAnsi="Book Antiqua"/>
      <w:b/>
      <w:bCs/>
      <w:color w:val="000000"/>
    </w:rPr>
  </w:style>
  <w:style w:type="paragraph" w:customStyle="1" w:styleId="Default">
    <w:name w:val="Default"/>
    <w:rsid w:val="00BC397B"/>
    <w:pPr>
      <w:autoSpaceDE w:val="0"/>
      <w:autoSpaceDN w:val="0"/>
      <w:adjustRightInd w:val="0"/>
    </w:pPr>
    <w:rPr>
      <w:rFonts w:ascii="Book Antiqua" w:hAnsi="Book Antiqua" w:cs="Book Antiqua"/>
      <w:color w:val="000000"/>
      <w:sz w:val="24"/>
      <w:szCs w:val="24"/>
      <w:lang w:val="en-US" w:eastAsia="en-US"/>
    </w:rPr>
  </w:style>
  <w:style w:type="paragraph" w:customStyle="1" w:styleId="CAR-Indent-2">
    <w:name w:val="CAR-Indent-2"/>
    <w:rsid w:val="00BF20BF"/>
    <w:pPr>
      <w:autoSpaceDE w:val="0"/>
      <w:autoSpaceDN w:val="0"/>
      <w:adjustRightInd w:val="0"/>
      <w:spacing w:after="240" w:line="260" w:lineRule="exact"/>
      <w:ind w:left="1134"/>
    </w:pPr>
    <w:rPr>
      <w:rFonts w:ascii="Book Antiqua" w:hAnsi="Book Antiqua"/>
      <w:sz w:val="24"/>
      <w:szCs w:val="24"/>
      <w:lang w:val="en-US" w:eastAsia="en-US"/>
    </w:rPr>
  </w:style>
  <w:style w:type="paragraph" w:customStyle="1" w:styleId="CAR-Indent-1">
    <w:name w:val="CAR-Indent-1"/>
    <w:rsid w:val="00BF20BF"/>
    <w:pPr>
      <w:autoSpaceDE w:val="0"/>
      <w:autoSpaceDN w:val="0"/>
      <w:adjustRightInd w:val="0"/>
      <w:spacing w:after="240" w:line="260" w:lineRule="exact"/>
      <w:ind w:left="567"/>
    </w:pPr>
    <w:rPr>
      <w:rFonts w:ascii="Book Antiqua" w:hAnsi="Book Antiqua"/>
      <w:sz w:val="24"/>
      <w:szCs w:val="24"/>
      <w:lang w:val="en-US" w:eastAsia="en-US"/>
    </w:rPr>
  </w:style>
  <w:style w:type="paragraph" w:customStyle="1" w:styleId="CAR-Bullet-2">
    <w:name w:val="CAR-Bullet-2"/>
    <w:rsid w:val="00BF20BF"/>
    <w:pPr>
      <w:numPr>
        <w:numId w:val="28"/>
      </w:numPr>
      <w:tabs>
        <w:tab w:val="left" w:pos="1134"/>
      </w:tabs>
      <w:spacing w:after="240" w:line="260" w:lineRule="exact"/>
    </w:pPr>
    <w:rPr>
      <w:rFonts w:ascii="Book Antiqua" w:hAnsi="Book Antiqua"/>
      <w:sz w:val="24"/>
      <w:szCs w:val="24"/>
      <w:lang w:eastAsia="en-US"/>
    </w:rPr>
  </w:style>
  <w:style w:type="paragraph" w:customStyle="1" w:styleId="CAR-Indent-Alpha-lower">
    <w:name w:val="CAR-Indent-Alpha-lower"/>
    <w:rsid w:val="00BF20BF"/>
    <w:pPr>
      <w:numPr>
        <w:numId w:val="29"/>
      </w:numPr>
      <w:spacing w:after="240" w:line="260" w:lineRule="exact"/>
      <w:ind w:right="561"/>
    </w:pPr>
    <w:rPr>
      <w:rFonts w:ascii="Book Antiqua" w:hAnsi="Book Antiqua"/>
      <w:sz w:val="24"/>
      <w:szCs w:val="24"/>
      <w:lang w:eastAsia="en-US"/>
    </w:rPr>
  </w:style>
  <w:style w:type="paragraph" w:customStyle="1" w:styleId="CAR-Indent-Roman-2">
    <w:name w:val="CAR-Indent-Roman-2"/>
    <w:rsid w:val="00BF20BF"/>
    <w:pPr>
      <w:numPr>
        <w:numId w:val="30"/>
      </w:numPr>
      <w:tabs>
        <w:tab w:val="left" w:pos="1843"/>
      </w:tabs>
      <w:spacing w:after="240" w:line="260" w:lineRule="exact"/>
    </w:pPr>
    <w:rPr>
      <w:rFonts w:ascii="Book Antiqua" w:hAnsi="Book Antiqua"/>
      <w:sz w:val="24"/>
      <w:szCs w:val="24"/>
      <w:lang w:eastAsia="en-US"/>
    </w:rPr>
  </w:style>
  <w:style w:type="paragraph" w:styleId="Revision">
    <w:name w:val="Revision"/>
    <w:hidden/>
    <w:uiPriority w:val="99"/>
    <w:semiHidden/>
    <w:rsid w:val="00D402D3"/>
    <w:rPr>
      <w:rFonts w:ascii="Book Antiqua" w:hAnsi="Book Antiqua"/>
      <w:color w:val="000000"/>
      <w:sz w:val="24"/>
      <w:szCs w:val="24"/>
    </w:rPr>
  </w:style>
  <w:style w:type="character" w:customStyle="1" w:styleId="Heading1Char">
    <w:name w:val="Heading 1 Char"/>
    <w:link w:val="Heading1"/>
    <w:rsid w:val="00DA41E0"/>
    <w:rPr>
      <w:rFonts w:ascii="Arial" w:hAnsi="Arial" w:cs="Arial"/>
      <w:b/>
      <w:bCs/>
      <w:color w:val="000080"/>
      <w:kern w:val="32"/>
      <w:sz w:val="32"/>
      <w:szCs w:val="36"/>
    </w:rPr>
  </w:style>
  <w:style w:type="character" w:customStyle="1" w:styleId="FootnoteTextChar">
    <w:name w:val="Footnote Text Char"/>
    <w:link w:val="FootnoteText"/>
    <w:rsid w:val="000E175C"/>
    <w:rPr>
      <w:rFonts w:ascii="Book Antiqua" w:hAnsi="Book Antiqua"/>
      <w:color w:val="000000"/>
      <w:sz w:val="18"/>
      <w:szCs w:val="24"/>
    </w:rPr>
  </w:style>
  <w:style w:type="paragraph" w:styleId="ListParagraph">
    <w:name w:val="List Paragraph"/>
    <w:basedOn w:val="Normal"/>
    <w:uiPriority w:val="34"/>
    <w:qFormat/>
    <w:rsid w:val="00F607A8"/>
    <w:pPr>
      <w:ind w:left="720"/>
      <w:contextualSpacing/>
    </w:pPr>
  </w:style>
  <w:style w:type="paragraph" w:styleId="ListBullet">
    <w:name w:val="List Bullet"/>
    <w:basedOn w:val="Normal"/>
    <w:uiPriority w:val="99"/>
    <w:unhideWhenUsed/>
    <w:rsid w:val="00641761"/>
    <w:pPr>
      <w:numPr>
        <w:numId w:val="31"/>
      </w:numPr>
      <w:contextualSpacing/>
    </w:pPr>
  </w:style>
  <w:style w:type="paragraph" w:styleId="EndnoteText">
    <w:name w:val="endnote text"/>
    <w:basedOn w:val="Normal"/>
    <w:link w:val="EndnoteTextChar"/>
    <w:uiPriority w:val="99"/>
    <w:semiHidden/>
    <w:unhideWhenUsed/>
    <w:rsid w:val="002E303D"/>
    <w:pPr>
      <w:spacing w:after="0" w:line="240" w:lineRule="auto"/>
    </w:pPr>
    <w:rPr>
      <w:sz w:val="20"/>
      <w:szCs w:val="20"/>
      <w:lang w:val="x-none" w:eastAsia="x-none"/>
    </w:rPr>
  </w:style>
  <w:style w:type="character" w:customStyle="1" w:styleId="EndnoteTextChar">
    <w:name w:val="Endnote Text Char"/>
    <w:link w:val="EndnoteText"/>
    <w:uiPriority w:val="99"/>
    <w:semiHidden/>
    <w:rsid w:val="002E303D"/>
    <w:rPr>
      <w:rFonts w:ascii="Book Antiqua" w:hAnsi="Book Antiqua"/>
      <w:color w:val="000000"/>
    </w:rPr>
  </w:style>
  <w:style w:type="character" w:styleId="EndnoteReference">
    <w:name w:val="endnote reference"/>
    <w:uiPriority w:val="99"/>
    <w:semiHidden/>
    <w:unhideWhenUsed/>
    <w:rsid w:val="002E303D"/>
    <w:rPr>
      <w:vertAlign w:val="superscript"/>
    </w:rPr>
  </w:style>
  <w:style w:type="paragraph" w:styleId="NormalWeb">
    <w:name w:val="Normal (Web)"/>
    <w:basedOn w:val="Normal"/>
    <w:uiPriority w:val="99"/>
    <w:semiHidden/>
    <w:unhideWhenUsed/>
    <w:rsid w:val="00494F86"/>
    <w:rPr>
      <w:rFonts w:ascii="Times New Roman" w:hAnsi="Times New Roman"/>
    </w:rPr>
  </w:style>
  <w:style w:type="character" w:customStyle="1" w:styleId="A5">
    <w:name w:val="A5"/>
    <w:uiPriority w:val="99"/>
    <w:rsid w:val="000134B9"/>
    <w:rPr>
      <w:rFonts w:cs="Swiss 721 BT"/>
      <w:color w:val="000000"/>
      <w:sz w:val="20"/>
      <w:szCs w:val="20"/>
    </w:rPr>
  </w:style>
  <w:style w:type="paragraph" w:styleId="TOCHeading">
    <w:name w:val="TOC Heading"/>
    <w:basedOn w:val="Heading1"/>
    <w:next w:val="Normal"/>
    <w:uiPriority w:val="39"/>
    <w:unhideWhenUsed/>
    <w:qFormat/>
    <w:rsid w:val="00487C7E"/>
    <w:pPr>
      <w:keepLines/>
      <w:spacing w:before="480" w:after="0" w:line="276" w:lineRule="auto"/>
      <w:outlineLvl w:val="9"/>
    </w:pPr>
    <w:rPr>
      <w:rFonts w:ascii="Cambria" w:eastAsia="MS Gothic" w:hAnsi="Cambria"/>
      <w:color w:val="365F91"/>
      <w:kern w:val="0"/>
      <w:sz w:val="28"/>
      <w:szCs w:val="28"/>
      <w:lang w:val="en-US" w:eastAsia="ja-JP"/>
    </w:rPr>
  </w:style>
  <w:style w:type="paragraph" w:customStyle="1" w:styleId="Tabletextlarge">
    <w:name w:val="Table text large"/>
    <w:basedOn w:val="TableTextLeft"/>
    <w:qFormat/>
    <w:rsid w:val="00755D7D"/>
    <w:rPr>
      <w:rFonts w:ascii="Book Antiqua" w:hAnsi="Book Antiqua"/>
      <w:sz w:val="20"/>
    </w:rPr>
  </w:style>
  <w:style w:type="paragraph" w:customStyle="1" w:styleId="Copyrighttext">
    <w:name w:val="Copyright text"/>
    <w:basedOn w:val="CAR-BodyText-Left"/>
    <w:rsid w:val="00A70BEC"/>
    <w:pPr>
      <w:spacing w:before="120" w:after="120" w:line="240" w:lineRule="auto"/>
    </w:pPr>
    <w:rPr>
      <w:sz w:val="19"/>
      <w:szCs w:val="18"/>
    </w:rPr>
  </w:style>
  <w:style w:type="paragraph" w:customStyle="1" w:styleId="Copyrightheading">
    <w:name w:val="Copyright heading"/>
    <w:basedOn w:val="CAR-BodyText-Left"/>
    <w:rsid w:val="00A70BEC"/>
    <w:pPr>
      <w:spacing w:before="120" w:after="60" w:line="240" w:lineRule="auto"/>
    </w:pPr>
    <w:rPr>
      <w:b/>
      <w:sz w:val="19"/>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51257">
      <w:bodyDiv w:val="1"/>
      <w:marLeft w:val="0"/>
      <w:marRight w:val="0"/>
      <w:marTop w:val="0"/>
      <w:marBottom w:val="0"/>
      <w:divBdr>
        <w:top w:val="none" w:sz="0" w:space="0" w:color="auto"/>
        <w:left w:val="none" w:sz="0" w:space="0" w:color="auto"/>
        <w:bottom w:val="none" w:sz="0" w:space="0" w:color="auto"/>
        <w:right w:val="none" w:sz="0" w:space="0" w:color="auto"/>
      </w:divBdr>
    </w:div>
    <w:div w:id="536435894">
      <w:bodyDiv w:val="1"/>
      <w:marLeft w:val="0"/>
      <w:marRight w:val="0"/>
      <w:marTop w:val="0"/>
      <w:marBottom w:val="0"/>
      <w:divBdr>
        <w:top w:val="none" w:sz="0" w:space="0" w:color="auto"/>
        <w:left w:val="none" w:sz="0" w:space="0" w:color="auto"/>
        <w:bottom w:val="none" w:sz="0" w:space="0" w:color="auto"/>
        <w:right w:val="none" w:sz="0" w:space="0" w:color="auto"/>
      </w:divBdr>
      <w:divsChild>
        <w:div w:id="444038530">
          <w:marLeft w:val="0"/>
          <w:marRight w:val="0"/>
          <w:marTop w:val="0"/>
          <w:marBottom w:val="0"/>
          <w:divBdr>
            <w:top w:val="none" w:sz="0" w:space="0" w:color="auto"/>
            <w:left w:val="none" w:sz="0" w:space="0" w:color="auto"/>
            <w:bottom w:val="none" w:sz="0" w:space="0" w:color="auto"/>
            <w:right w:val="none" w:sz="0" w:space="0" w:color="auto"/>
          </w:divBdr>
        </w:div>
      </w:divsChild>
    </w:div>
    <w:div w:id="1142305573">
      <w:bodyDiv w:val="1"/>
      <w:marLeft w:val="0"/>
      <w:marRight w:val="0"/>
      <w:marTop w:val="0"/>
      <w:marBottom w:val="0"/>
      <w:divBdr>
        <w:top w:val="none" w:sz="0" w:space="0" w:color="auto"/>
        <w:left w:val="none" w:sz="0" w:space="0" w:color="auto"/>
        <w:bottom w:val="none" w:sz="0" w:space="0" w:color="auto"/>
        <w:right w:val="none" w:sz="0" w:space="0" w:color="auto"/>
      </w:divBdr>
    </w:div>
    <w:div w:id="1495489390">
      <w:bodyDiv w:val="1"/>
      <w:marLeft w:val="0"/>
      <w:marRight w:val="0"/>
      <w:marTop w:val="0"/>
      <w:marBottom w:val="0"/>
      <w:divBdr>
        <w:top w:val="none" w:sz="0" w:space="0" w:color="auto"/>
        <w:left w:val="none" w:sz="0" w:space="0" w:color="auto"/>
        <w:bottom w:val="none" w:sz="0" w:space="0" w:color="auto"/>
        <w:right w:val="none" w:sz="0" w:space="0" w:color="auto"/>
      </w:divBdr>
    </w:div>
    <w:div w:id="1807502502">
      <w:bodyDiv w:val="1"/>
      <w:marLeft w:val="0"/>
      <w:marRight w:val="0"/>
      <w:marTop w:val="0"/>
      <w:marBottom w:val="0"/>
      <w:divBdr>
        <w:top w:val="none" w:sz="0" w:space="0" w:color="auto"/>
        <w:left w:val="none" w:sz="0" w:space="0" w:color="auto"/>
        <w:bottom w:val="none" w:sz="0" w:space="0" w:color="auto"/>
        <w:right w:val="none" w:sz="0" w:space="0" w:color="auto"/>
      </w:divBdr>
    </w:div>
    <w:div w:id="2036691600">
      <w:bodyDiv w:val="1"/>
      <w:marLeft w:val="0"/>
      <w:marRight w:val="0"/>
      <w:marTop w:val="0"/>
      <w:marBottom w:val="0"/>
      <w:divBdr>
        <w:top w:val="none" w:sz="0" w:space="0" w:color="auto"/>
        <w:left w:val="none" w:sz="0" w:space="0" w:color="auto"/>
        <w:bottom w:val="none" w:sz="0" w:space="0" w:color="auto"/>
        <w:right w:val="none" w:sz="0" w:space="0" w:color="auto"/>
      </w:divBdr>
      <w:divsChild>
        <w:div w:id="1741177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yperlink" Target="http://www.itsanhonour.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aldb.gov.a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creativecommons.org/licenses/by/3.0/au/deed.en" TargetMode="External"/><Relationship Id="rId25" Type="http://schemas.openxmlformats.org/officeDocument/2006/relationships/hyperlink" Target="http://www.caldb.gov.au"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mailto:gary.hoare@caldb.gov.au" TargetMode="External"/><Relationship Id="rId29" Type="http://schemas.openxmlformats.org/officeDocument/2006/relationships/hyperlink" Target="http://www.caldb.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hyperlink" Target="http://creativecommons.org/licenses/by/3.0/au/legalcode" TargetMode="External"/><Relationship Id="rId23" Type="http://schemas.openxmlformats.org/officeDocument/2006/relationships/footer" Target="footer2.xml"/><Relationship Id="rId28" Type="http://schemas.openxmlformats.org/officeDocument/2006/relationships/hyperlink" Target="http://www.caldb.gov.au" TargetMode="External"/><Relationship Id="rId10" Type="http://schemas.openxmlformats.org/officeDocument/2006/relationships/webSettings" Target="webSettings.xml"/><Relationship Id="rId19" Type="http://schemas.openxmlformats.org/officeDocument/2006/relationships/hyperlink" Target="mailto:medialiaison@treasury.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reativecommons.org/licenses/by/3.0/au/deed.en"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39018EEC19065241894C029810CDA3F7" ma:contentTypeVersion="0" ma:contentTypeDescription="If you are creating a Word, PowerPoint or Excel document use the options available in the drop down list; for all other documents leave the content type as General Content." ma:contentTypeScope="" ma:versionID="4e1412009600107318ce8ef2c6e6d9bc">
  <xsd:schema xmlns:xsd="http://www.w3.org/2001/XMLSchema" xmlns:xs="http://www.w3.org/2001/XMLSchema" xmlns:p="http://schemas.microsoft.com/office/2006/metadata/properties" xmlns:ns2="378b04f6-f261-4499-b462-41ddd755ff66" targetNamespace="http://schemas.microsoft.com/office/2006/metadata/properties" ma:root="true" ma:fieldsID="8a11561648e9abec6a159d8f51b2bafd"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78b04f6-f261-4499-b462-41ddd755ff66">2014CSSG-633-1520</_dlc_DocId>
    <_dlc_DocIdUrl xmlns="378b04f6-f261-4499-b462-41ddd755ff66">
      <Url>http://tweb/sites/cssg/mcd/pubs/pt/_layouts/DocIdRedir.aspx?ID=2014CSSG-633-1520</Url>
      <Description>2014CSSG-633-1520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32371-09CB-4401-93DA-B5155872955A}">
  <ds:schemaRefs>
    <ds:schemaRef ds:uri="http://schemas.microsoft.com/office/2006/metadata/longProperties"/>
  </ds:schemaRefs>
</ds:datastoreItem>
</file>

<file path=customXml/itemProps2.xml><?xml version="1.0" encoding="utf-8"?>
<ds:datastoreItem xmlns:ds="http://schemas.openxmlformats.org/officeDocument/2006/customXml" ds:itemID="{C3DAD758-0F01-43B9-8F38-20A333CD6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E5AD9-24C0-4979-A082-C4284D0B3A45}">
  <ds:schemaRefs>
    <ds:schemaRef ds:uri="http://schemas.microsoft.com/sharepoint/v3/contenttype/forms"/>
  </ds:schemaRefs>
</ds:datastoreItem>
</file>

<file path=customXml/itemProps4.xml><?xml version="1.0" encoding="utf-8"?>
<ds:datastoreItem xmlns:ds="http://schemas.openxmlformats.org/officeDocument/2006/customXml" ds:itemID="{1EA5437B-97EC-48BB-ADF8-DCBA1BEFA083}">
  <ds:schemaRefs>
    <ds:schemaRef ds:uri="http://www.w3.org/XML/1998/namespace"/>
    <ds:schemaRef ds:uri="http://purl.org/dc/elements/1.1/"/>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5.xml><?xml version="1.0" encoding="utf-8"?>
<ds:datastoreItem xmlns:ds="http://schemas.openxmlformats.org/officeDocument/2006/customXml" ds:itemID="{CD18ED2D-C439-4F36-AB5E-41E05E45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7988</Words>
  <Characters>42676</Characters>
  <Application>Microsoft Office Word</Application>
  <DocSecurity>0</DocSecurity>
  <Lines>1036</Lines>
  <Paragraphs>494</Paragraphs>
  <ScaleCrop>false</ScaleCrop>
  <HeadingPairs>
    <vt:vector size="2" baseType="variant">
      <vt:variant>
        <vt:lpstr>Title</vt:lpstr>
      </vt:variant>
      <vt:variant>
        <vt:i4>1</vt:i4>
      </vt:variant>
    </vt:vector>
  </HeadingPairs>
  <TitlesOfParts>
    <vt:vector size="1" baseType="lpstr">
      <vt:lpstr>OVERVIEW</vt:lpstr>
    </vt:vector>
  </TitlesOfParts>
  <Company>CALDB</Company>
  <LinksUpToDate>false</LinksUpToDate>
  <CharactersWithSpaces>50234</CharactersWithSpaces>
  <SharedDoc>false</SharedDoc>
  <HLinks>
    <vt:vector size="270" baseType="variant">
      <vt:variant>
        <vt:i4>1638479</vt:i4>
      </vt:variant>
      <vt:variant>
        <vt:i4>240</vt:i4>
      </vt:variant>
      <vt:variant>
        <vt:i4>0</vt:i4>
      </vt:variant>
      <vt:variant>
        <vt:i4>5</vt:i4>
      </vt:variant>
      <vt:variant>
        <vt:lpwstr>http://www.caldb.gov.au/</vt:lpwstr>
      </vt:variant>
      <vt:variant>
        <vt:lpwstr/>
      </vt:variant>
      <vt:variant>
        <vt:i4>1638479</vt:i4>
      </vt:variant>
      <vt:variant>
        <vt:i4>237</vt:i4>
      </vt:variant>
      <vt:variant>
        <vt:i4>0</vt:i4>
      </vt:variant>
      <vt:variant>
        <vt:i4>5</vt:i4>
      </vt:variant>
      <vt:variant>
        <vt:lpwstr>http://www.caldb.gov.au/</vt:lpwstr>
      </vt:variant>
      <vt:variant>
        <vt:lpwstr/>
      </vt:variant>
      <vt:variant>
        <vt:i4>1638479</vt:i4>
      </vt:variant>
      <vt:variant>
        <vt:i4>234</vt:i4>
      </vt:variant>
      <vt:variant>
        <vt:i4>0</vt:i4>
      </vt:variant>
      <vt:variant>
        <vt:i4>5</vt:i4>
      </vt:variant>
      <vt:variant>
        <vt:lpwstr>http://www.caldb.gov.au/</vt:lpwstr>
      </vt:variant>
      <vt:variant>
        <vt:lpwstr/>
      </vt:variant>
      <vt:variant>
        <vt:i4>1966136</vt:i4>
      </vt:variant>
      <vt:variant>
        <vt:i4>227</vt:i4>
      </vt:variant>
      <vt:variant>
        <vt:i4>0</vt:i4>
      </vt:variant>
      <vt:variant>
        <vt:i4>5</vt:i4>
      </vt:variant>
      <vt:variant>
        <vt:lpwstr/>
      </vt:variant>
      <vt:variant>
        <vt:lpwstr>_Toc394067977</vt:lpwstr>
      </vt:variant>
      <vt:variant>
        <vt:i4>1966136</vt:i4>
      </vt:variant>
      <vt:variant>
        <vt:i4>221</vt:i4>
      </vt:variant>
      <vt:variant>
        <vt:i4>0</vt:i4>
      </vt:variant>
      <vt:variant>
        <vt:i4>5</vt:i4>
      </vt:variant>
      <vt:variant>
        <vt:lpwstr/>
      </vt:variant>
      <vt:variant>
        <vt:lpwstr>_Toc394067976</vt:lpwstr>
      </vt:variant>
      <vt:variant>
        <vt:i4>1966136</vt:i4>
      </vt:variant>
      <vt:variant>
        <vt:i4>215</vt:i4>
      </vt:variant>
      <vt:variant>
        <vt:i4>0</vt:i4>
      </vt:variant>
      <vt:variant>
        <vt:i4>5</vt:i4>
      </vt:variant>
      <vt:variant>
        <vt:lpwstr/>
      </vt:variant>
      <vt:variant>
        <vt:lpwstr>_Toc394067975</vt:lpwstr>
      </vt:variant>
      <vt:variant>
        <vt:i4>1966136</vt:i4>
      </vt:variant>
      <vt:variant>
        <vt:i4>209</vt:i4>
      </vt:variant>
      <vt:variant>
        <vt:i4>0</vt:i4>
      </vt:variant>
      <vt:variant>
        <vt:i4>5</vt:i4>
      </vt:variant>
      <vt:variant>
        <vt:lpwstr/>
      </vt:variant>
      <vt:variant>
        <vt:lpwstr>_Toc394067974</vt:lpwstr>
      </vt:variant>
      <vt:variant>
        <vt:i4>1966136</vt:i4>
      </vt:variant>
      <vt:variant>
        <vt:i4>203</vt:i4>
      </vt:variant>
      <vt:variant>
        <vt:i4>0</vt:i4>
      </vt:variant>
      <vt:variant>
        <vt:i4>5</vt:i4>
      </vt:variant>
      <vt:variant>
        <vt:lpwstr/>
      </vt:variant>
      <vt:variant>
        <vt:lpwstr>_Toc394067973</vt:lpwstr>
      </vt:variant>
      <vt:variant>
        <vt:i4>1966136</vt:i4>
      </vt:variant>
      <vt:variant>
        <vt:i4>197</vt:i4>
      </vt:variant>
      <vt:variant>
        <vt:i4>0</vt:i4>
      </vt:variant>
      <vt:variant>
        <vt:i4>5</vt:i4>
      </vt:variant>
      <vt:variant>
        <vt:lpwstr/>
      </vt:variant>
      <vt:variant>
        <vt:lpwstr>_Toc394067972</vt:lpwstr>
      </vt:variant>
      <vt:variant>
        <vt:i4>1966136</vt:i4>
      </vt:variant>
      <vt:variant>
        <vt:i4>191</vt:i4>
      </vt:variant>
      <vt:variant>
        <vt:i4>0</vt:i4>
      </vt:variant>
      <vt:variant>
        <vt:i4>5</vt:i4>
      </vt:variant>
      <vt:variant>
        <vt:lpwstr/>
      </vt:variant>
      <vt:variant>
        <vt:lpwstr>_Toc394067971</vt:lpwstr>
      </vt:variant>
      <vt:variant>
        <vt:i4>1966136</vt:i4>
      </vt:variant>
      <vt:variant>
        <vt:i4>185</vt:i4>
      </vt:variant>
      <vt:variant>
        <vt:i4>0</vt:i4>
      </vt:variant>
      <vt:variant>
        <vt:i4>5</vt:i4>
      </vt:variant>
      <vt:variant>
        <vt:lpwstr/>
      </vt:variant>
      <vt:variant>
        <vt:lpwstr>_Toc394067970</vt:lpwstr>
      </vt:variant>
      <vt:variant>
        <vt:i4>2031672</vt:i4>
      </vt:variant>
      <vt:variant>
        <vt:i4>179</vt:i4>
      </vt:variant>
      <vt:variant>
        <vt:i4>0</vt:i4>
      </vt:variant>
      <vt:variant>
        <vt:i4>5</vt:i4>
      </vt:variant>
      <vt:variant>
        <vt:lpwstr/>
      </vt:variant>
      <vt:variant>
        <vt:lpwstr>_Toc394067969</vt:lpwstr>
      </vt:variant>
      <vt:variant>
        <vt:i4>2031672</vt:i4>
      </vt:variant>
      <vt:variant>
        <vt:i4>173</vt:i4>
      </vt:variant>
      <vt:variant>
        <vt:i4>0</vt:i4>
      </vt:variant>
      <vt:variant>
        <vt:i4>5</vt:i4>
      </vt:variant>
      <vt:variant>
        <vt:lpwstr/>
      </vt:variant>
      <vt:variant>
        <vt:lpwstr>_Toc394067968</vt:lpwstr>
      </vt:variant>
      <vt:variant>
        <vt:i4>2031672</vt:i4>
      </vt:variant>
      <vt:variant>
        <vt:i4>167</vt:i4>
      </vt:variant>
      <vt:variant>
        <vt:i4>0</vt:i4>
      </vt:variant>
      <vt:variant>
        <vt:i4>5</vt:i4>
      </vt:variant>
      <vt:variant>
        <vt:lpwstr/>
      </vt:variant>
      <vt:variant>
        <vt:lpwstr>_Toc394067967</vt:lpwstr>
      </vt:variant>
      <vt:variant>
        <vt:i4>2031672</vt:i4>
      </vt:variant>
      <vt:variant>
        <vt:i4>161</vt:i4>
      </vt:variant>
      <vt:variant>
        <vt:i4>0</vt:i4>
      </vt:variant>
      <vt:variant>
        <vt:i4>5</vt:i4>
      </vt:variant>
      <vt:variant>
        <vt:lpwstr/>
      </vt:variant>
      <vt:variant>
        <vt:lpwstr>_Toc394067966</vt:lpwstr>
      </vt:variant>
      <vt:variant>
        <vt:i4>2031672</vt:i4>
      </vt:variant>
      <vt:variant>
        <vt:i4>155</vt:i4>
      </vt:variant>
      <vt:variant>
        <vt:i4>0</vt:i4>
      </vt:variant>
      <vt:variant>
        <vt:i4>5</vt:i4>
      </vt:variant>
      <vt:variant>
        <vt:lpwstr/>
      </vt:variant>
      <vt:variant>
        <vt:lpwstr>_Toc394067965</vt:lpwstr>
      </vt:variant>
      <vt:variant>
        <vt:i4>2031672</vt:i4>
      </vt:variant>
      <vt:variant>
        <vt:i4>149</vt:i4>
      </vt:variant>
      <vt:variant>
        <vt:i4>0</vt:i4>
      </vt:variant>
      <vt:variant>
        <vt:i4>5</vt:i4>
      </vt:variant>
      <vt:variant>
        <vt:lpwstr/>
      </vt:variant>
      <vt:variant>
        <vt:lpwstr>_Toc394067964</vt:lpwstr>
      </vt:variant>
      <vt:variant>
        <vt:i4>2031672</vt:i4>
      </vt:variant>
      <vt:variant>
        <vt:i4>143</vt:i4>
      </vt:variant>
      <vt:variant>
        <vt:i4>0</vt:i4>
      </vt:variant>
      <vt:variant>
        <vt:i4>5</vt:i4>
      </vt:variant>
      <vt:variant>
        <vt:lpwstr/>
      </vt:variant>
      <vt:variant>
        <vt:lpwstr>_Toc394067963</vt:lpwstr>
      </vt:variant>
      <vt:variant>
        <vt:i4>2031672</vt:i4>
      </vt:variant>
      <vt:variant>
        <vt:i4>137</vt:i4>
      </vt:variant>
      <vt:variant>
        <vt:i4>0</vt:i4>
      </vt:variant>
      <vt:variant>
        <vt:i4>5</vt:i4>
      </vt:variant>
      <vt:variant>
        <vt:lpwstr/>
      </vt:variant>
      <vt:variant>
        <vt:lpwstr>_Toc394067962</vt:lpwstr>
      </vt:variant>
      <vt:variant>
        <vt:i4>2031672</vt:i4>
      </vt:variant>
      <vt:variant>
        <vt:i4>131</vt:i4>
      </vt:variant>
      <vt:variant>
        <vt:i4>0</vt:i4>
      </vt:variant>
      <vt:variant>
        <vt:i4>5</vt:i4>
      </vt:variant>
      <vt:variant>
        <vt:lpwstr/>
      </vt:variant>
      <vt:variant>
        <vt:lpwstr>_Toc394067961</vt:lpwstr>
      </vt:variant>
      <vt:variant>
        <vt:i4>2031672</vt:i4>
      </vt:variant>
      <vt:variant>
        <vt:i4>125</vt:i4>
      </vt:variant>
      <vt:variant>
        <vt:i4>0</vt:i4>
      </vt:variant>
      <vt:variant>
        <vt:i4>5</vt:i4>
      </vt:variant>
      <vt:variant>
        <vt:lpwstr/>
      </vt:variant>
      <vt:variant>
        <vt:lpwstr>_Toc394067960</vt:lpwstr>
      </vt:variant>
      <vt:variant>
        <vt:i4>1835064</vt:i4>
      </vt:variant>
      <vt:variant>
        <vt:i4>119</vt:i4>
      </vt:variant>
      <vt:variant>
        <vt:i4>0</vt:i4>
      </vt:variant>
      <vt:variant>
        <vt:i4>5</vt:i4>
      </vt:variant>
      <vt:variant>
        <vt:lpwstr/>
      </vt:variant>
      <vt:variant>
        <vt:lpwstr>_Toc394067959</vt:lpwstr>
      </vt:variant>
      <vt:variant>
        <vt:i4>1835064</vt:i4>
      </vt:variant>
      <vt:variant>
        <vt:i4>113</vt:i4>
      </vt:variant>
      <vt:variant>
        <vt:i4>0</vt:i4>
      </vt:variant>
      <vt:variant>
        <vt:i4>5</vt:i4>
      </vt:variant>
      <vt:variant>
        <vt:lpwstr/>
      </vt:variant>
      <vt:variant>
        <vt:lpwstr>_Toc394067958</vt:lpwstr>
      </vt:variant>
      <vt:variant>
        <vt:i4>1835064</vt:i4>
      </vt:variant>
      <vt:variant>
        <vt:i4>107</vt:i4>
      </vt:variant>
      <vt:variant>
        <vt:i4>0</vt:i4>
      </vt:variant>
      <vt:variant>
        <vt:i4>5</vt:i4>
      </vt:variant>
      <vt:variant>
        <vt:lpwstr/>
      </vt:variant>
      <vt:variant>
        <vt:lpwstr>_Toc394067957</vt:lpwstr>
      </vt:variant>
      <vt:variant>
        <vt:i4>1835064</vt:i4>
      </vt:variant>
      <vt:variant>
        <vt:i4>101</vt:i4>
      </vt:variant>
      <vt:variant>
        <vt:i4>0</vt:i4>
      </vt:variant>
      <vt:variant>
        <vt:i4>5</vt:i4>
      </vt:variant>
      <vt:variant>
        <vt:lpwstr/>
      </vt:variant>
      <vt:variant>
        <vt:lpwstr>_Toc394067956</vt:lpwstr>
      </vt:variant>
      <vt:variant>
        <vt:i4>1835064</vt:i4>
      </vt:variant>
      <vt:variant>
        <vt:i4>95</vt:i4>
      </vt:variant>
      <vt:variant>
        <vt:i4>0</vt:i4>
      </vt:variant>
      <vt:variant>
        <vt:i4>5</vt:i4>
      </vt:variant>
      <vt:variant>
        <vt:lpwstr/>
      </vt:variant>
      <vt:variant>
        <vt:lpwstr>_Toc394067955</vt:lpwstr>
      </vt:variant>
      <vt:variant>
        <vt:i4>1835064</vt:i4>
      </vt:variant>
      <vt:variant>
        <vt:i4>89</vt:i4>
      </vt:variant>
      <vt:variant>
        <vt:i4>0</vt:i4>
      </vt:variant>
      <vt:variant>
        <vt:i4>5</vt:i4>
      </vt:variant>
      <vt:variant>
        <vt:lpwstr/>
      </vt:variant>
      <vt:variant>
        <vt:lpwstr>_Toc394067954</vt:lpwstr>
      </vt:variant>
      <vt:variant>
        <vt:i4>1835064</vt:i4>
      </vt:variant>
      <vt:variant>
        <vt:i4>83</vt:i4>
      </vt:variant>
      <vt:variant>
        <vt:i4>0</vt:i4>
      </vt:variant>
      <vt:variant>
        <vt:i4>5</vt:i4>
      </vt:variant>
      <vt:variant>
        <vt:lpwstr/>
      </vt:variant>
      <vt:variant>
        <vt:lpwstr>_Toc394067953</vt:lpwstr>
      </vt:variant>
      <vt:variant>
        <vt:i4>1835064</vt:i4>
      </vt:variant>
      <vt:variant>
        <vt:i4>77</vt:i4>
      </vt:variant>
      <vt:variant>
        <vt:i4>0</vt:i4>
      </vt:variant>
      <vt:variant>
        <vt:i4>5</vt:i4>
      </vt:variant>
      <vt:variant>
        <vt:lpwstr/>
      </vt:variant>
      <vt:variant>
        <vt:lpwstr>_Toc394067952</vt:lpwstr>
      </vt:variant>
      <vt:variant>
        <vt:i4>1835064</vt:i4>
      </vt:variant>
      <vt:variant>
        <vt:i4>71</vt:i4>
      </vt:variant>
      <vt:variant>
        <vt:i4>0</vt:i4>
      </vt:variant>
      <vt:variant>
        <vt:i4>5</vt:i4>
      </vt:variant>
      <vt:variant>
        <vt:lpwstr/>
      </vt:variant>
      <vt:variant>
        <vt:lpwstr>_Toc394067951</vt:lpwstr>
      </vt:variant>
      <vt:variant>
        <vt:i4>1835064</vt:i4>
      </vt:variant>
      <vt:variant>
        <vt:i4>65</vt:i4>
      </vt:variant>
      <vt:variant>
        <vt:i4>0</vt:i4>
      </vt:variant>
      <vt:variant>
        <vt:i4>5</vt:i4>
      </vt:variant>
      <vt:variant>
        <vt:lpwstr/>
      </vt:variant>
      <vt:variant>
        <vt:lpwstr>_Toc394067950</vt:lpwstr>
      </vt:variant>
      <vt:variant>
        <vt:i4>1900600</vt:i4>
      </vt:variant>
      <vt:variant>
        <vt:i4>59</vt:i4>
      </vt:variant>
      <vt:variant>
        <vt:i4>0</vt:i4>
      </vt:variant>
      <vt:variant>
        <vt:i4>5</vt:i4>
      </vt:variant>
      <vt:variant>
        <vt:lpwstr/>
      </vt:variant>
      <vt:variant>
        <vt:lpwstr>_Toc394067949</vt:lpwstr>
      </vt:variant>
      <vt:variant>
        <vt:i4>1900600</vt:i4>
      </vt:variant>
      <vt:variant>
        <vt:i4>53</vt:i4>
      </vt:variant>
      <vt:variant>
        <vt:i4>0</vt:i4>
      </vt:variant>
      <vt:variant>
        <vt:i4>5</vt:i4>
      </vt:variant>
      <vt:variant>
        <vt:lpwstr/>
      </vt:variant>
      <vt:variant>
        <vt:lpwstr>_Toc394067948</vt:lpwstr>
      </vt:variant>
      <vt:variant>
        <vt:i4>1900600</vt:i4>
      </vt:variant>
      <vt:variant>
        <vt:i4>47</vt:i4>
      </vt:variant>
      <vt:variant>
        <vt:i4>0</vt:i4>
      </vt:variant>
      <vt:variant>
        <vt:i4>5</vt:i4>
      </vt:variant>
      <vt:variant>
        <vt:lpwstr/>
      </vt:variant>
      <vt:variant>
        <vt:lpwstr>_Toc394067947</vt:lpwstr>
      </vt:variant>
      <vt:variant>
        <vt:i4>1900600</vt:i4>
      </vt:variant>
      <vt:variant>
        <vt:i4>41</vt:i4>
      </vt:variant>
      <vt:variant>
        <vt:i4>0</vt:i4>
      </vt:variant>
      <vt:variant>
        <vt:i4>5</vt:i4>
      </vt:variant>
      <vt:variant>
        <vt:lpwstr/>
      </vt:variant>
      <vt:variant>
        <vt:lpwstr>_Toc394067946</vt:lpwstr>
      </vt:variant>
      <vt:variant>
        <vt:i4>1900600</vt:i4>
      </vt:variant>
      <vt:variant>
        <vt:i4>35</vt:i4>
      </vt:variant>
      <vt:variant>
        <vt:i4>0</vt:i4>
      </vt:variant>
      <vt:variant>
        <vt:i4>5</vt:i4>
      </vt:variant>
      <vt:variant>
        <vt:lpwstr/>
      </vt:variant>
      <vt:variant>
        <vt:lpwstr>_Toc394067945</vt:lpwstr>
      </vt:variant>
      <vt:variant>
        <vt:i4>1900600</vt:i4>
      </vt:variant>
      <vt:variant>
        <vt:i4>29</vt:i4>
      </vt:variant>
      <vt:variant>
        <vt:i4>0</vt:i4>
      </vt:variant>
      <vt:variant>
        <vt:i4>5</vt:i4>
      </vt:variant>
      <vt:variant>
        <vt:lpwstr/>
      </vt:variant>
      <vt:variant>
        <vt:lpwstr>_Toc394067944</vt:lpwstr>
      </vt:variant>
      <vt:variant>
        <vt:i4>1900600</vt:i4>
      </vt:variant>
      <vt:variant>
        <vt:i4>23</vt:i4>
      </vt:variant>
      <vt:variant>
        <vt:i4>0</vt:i4>
      </vt:variant>
      <vt:variant>
        <vt:i4>5</vt:i4>
      </vt:variant>
      <vt:variant>
        <vt:lpwstr/>
      </vt:variant>
      <vt:variant>
        <vt:lpwstr>_Toc394067943</vt:lpwstr>
      </vt:variant>
      <vt:variant>
        <vt:i4>1638479</vt:i4>
      </vt:variant>
      <vt:variant>
        <vt:i4>18</vt:i4>
      </vt:variant>
      <vt:variant>
        <vt:i4>0</vt:i4>
      </vt:variant>
      <vt:variant>
        <vt:i4>5</vt:i4>
      </vt:variant>
      <vt:variant>
        <vt:lpwstr>http://www.caldb.gov.au/</vt:lpwstr>
      </vt:variant>
      <vt:variant>
        <vt:lpwstr/>
      </vt:variant>
      <vt:variant>
        <vt:i4>1769507</vt:i4>
      </vt:variant>
      <vt:variant>
        <vt:i4>15</vt:i4>
      </vt:variant>
      <vt:variant>
        <vt:i4>0</vt:i4>
      </vt:variant>
      <vt:variant>
        <vt:i4>5</vt:i4>
      </vt:variant>
      <vt:variant>
        <vt:lpwstr>mailto:gary.hoare@caldb.gov.au</vt:lpwstr>
      </vt:variant>
      <vt:variant>
        <vt:lpwstr/>
      </vt:variant>
      <vt:variant>
        <vt:i4>4849705</vt:i4>
      </vt:variant>
      <vt:variant>
        <vt:i4>12</vt:i4>
      </vt:variant>
      <vt:variant>
        <vt:i4>0</vt:i4>
      </vt:variant>
      <vt:variant>
        <vt:i4>5</vt:i4>
      </vt:variant>
      <vt:variant>
        <vt:lpwstr>mailto:medialiaison@treasury.gov.au</vt:lpwstr>
      </vt:variant>
      <vt:variant>
        <vt:lpwstr/>
      </vt: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
  <cp:lastModifiedBy>carolyn.schmidt</cp:lastModifiedBy>
  <cp:revision>3</cp:revision>
  <cp:lastPrinted>2014-08-06T00:21:00Z</cp:lastPrinted>
  <dcterms:created xsi:type="dcterms:W3CDTF">2014-09-25T00:54:00Z</dcterms:created>
  <dcterms:modified xsi:type="dcterms:W3CDTF">2014-09-25T00:57:00Z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2014CSSG-633-1446</vt:lpwstr>
  </property>
  <property fmtid="{D5CDD505-2E9C-101B-9397-08002B2CF9AE}" pid="3" name="_dlc_DocIdItemGuid">
    <vt:lpwstr>24788ece-861a-4cd4-a724-caabcbdd3bd5</vt:lpwstr>
  </property>
  <property fmtid="{D5CDD505-2E9C-101B-9397-08002B2CF9AE}" pid="4" name="_dlc_DocIdUrl">
    <vt:lpwstr>http://tweb/sites/cssg/mcd/pubs/pt/_layouts/DocIdRedir.aspx?ID=2014CSSG-633-1446, 2014CSSG-633-1446</vt:lpwstr>
  </property>
  <property fmtid="{D5CDD505-2E9C-101B-9397-08002B2CF9AE}" pid="5" name="_AdHocReviewCycleID">
    <vt:i4>-648984435</vt:i4>
  </property>
  <property fmtid="{D5CDD505-2E9C-101B-9397-08002B2CF9AE}" pid="6" name="_NewReviewCycle">
    <vt:lpwstr/>
  </property>
  <property fmtid="{D5CDD505-2E9C-101B-9397-08002B2CF9AE}" pid="7" name="_EmailSubject">
    <vt:lpwstr>CALDB 2014 Annual Report [DLM=Sensitive]</vt:lpwstr>
  </property>
  <property fmtid="{D5CDD505-2E9C-101B-9397-08002B2CF9AE}" pid="8" name="_AuthorEmail">
    <vt:lpwstr>Anne.Delaney@TREASURY.GOV.AU</vt:lpwstr>
  </property>
  <property fmtid="{D5CDD505-2E9C-101B-9397-08002B2CF9AE}" pid="9" name="_AuthorEmailDisplayName">
    <vt:lpwstr>Delaney, Anne</vt:lpwstr>
  </property>
  <property fmtid="{D5CDD505-2E9C-101B-9397-08002B2CF9AE}" pid="10" name="ContentTypeId">
    <vt:lpwstr>0x010100E726210826AA43828690450C811EB923009CA11FFD1E014DF4B1FA162D0F6112980039018EEC19065241894C029810CDA3F7</vt:lpwstr>
  </property>
  <property fmtid="{D5CDD505-2E9C-101B-9397-08002B2CF9AE}" pid="11" name="PageSize">
    <vt:lpwstr>A5</vt:lpwstr>
  </property>
  <property fmtid="{D5CDD505-2E9C-101B-9397-08002B2CF9AE}" pid="12" name="_PreviousAdHocReviewCycleID">
    <vt:i4>-2038703653</vt:i4>
  </property>
  <property fmtid="{D5CDD505-2E9C-101B-9397-08002B2CF9AE}" pid="13" name="_ReviewingToolsShownOnce">
    <vt:lpwstr/>
  </property>
  <property fmtid="{D5CDD505-2E9C-101B-9397-08002B2CF9AE}" pid="14" name="_MarkAsFinal">
    <vt:bool>true</vt:bool>
  </property>
</Properties>
</file>