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D4056" w14:textId="26C1CC03" w:rsidR="00535B50" w:rsidRPr="00AB39A0" w:rsidRDefault="00306FBA" w:rsidP="003B554F">
      <w:pPr>
        <w:pStyle w:val="CAR-CoverMain"/>
        <w:spacing w:before="2760"/>
      </w:pPr>
      <w:bookmarkStart w:id="0" w:name="_GoBack"/>
      <w:bookmarkEnd w:id="0"/>
      <w:r w:rsidRPr="00AB39A0">
        <w:t>Companies Auditors Disciplinary Board</w:t>
      </w:r>
    </w:p>
    <w:p w14:paraId="500A0672" w14:textId="1A85ED01" w:rsidR="00535B50" w:rsidRPr="00AB39A0" w:rsidRDefault="00306FBA" w:rsidP="000450D9">
      <w:pPr>
        <w:pStyle w:val="CAR-CoverSub"/>
      </w:pPr>
      <w:r w:rsidRPr="00AB39A0">
        <w:t>Annual Repor</w:t>
      </w:r>
      <w:r w:rsidR="00387D27" w:rsidRPr="00AB39A0">
        <w:t>t</w:t>
      </w:r>
      <w:r w:rsidR="00827372" w:rsidRPr="00AB39A0">
        <w:br/>
      </w:r>
      <w:r w:rsidR="00CA6FC8" w:rsidRPr="00AB39A0">
        <w:t xml:space="preserve">for </w:t>
      </w:r>
      <w:r w:rsidR="007A1517" w:rsidRPr="00AB39A0">
        <w:t xml:space="preserve">the </w:t>
      </w:r>
      <w:r w:rsidR="00CA6FC8" w:rsidRPr="00AB39A0">
        <w:t>year end</w:t>
      </w:r>
      <w:r w:rsidR="006C7A85" w:rsidRPr="00AB39A0">
        <w:t xml:space="preserve">ing </w:t>
      </w:r>
      <w:r w:rsidR="00CA6FC8" w:rsidRPr="00AB39A0">
        <w:t>30 June 201</w:t>
      </w:r>
      <w:r w:rsidR="00E573D3">
        <w:t>7</w:t>
      </w:r>
    </w:p>
    <w:p w14:paraId="2BA63023" w14:textId="77777777" w:rsidR="00633B17" w:rsidRPr="00AB39A0" w:rsidRDefault="00633B17" w:rsidP="00827372">
      <w:pPr>
        <w:pStyle w:val="CAR-CoverSub"/>
        <w:tabs>
          <w:tab w:val="left" w:pos="0"/>
        </w:tabs>
        <w:ind w:right="56"/>
        <w:outlineLvl w:val="0"/>
      </w:pPr>
    </w:p>
    <w:p w14:paraId="219177B2" w14:textId="77777777" w:rsidR="00854BA6" w:rsidRPr="00AB39A0" w:rsidRDefault="00854BA6" w:rsidP="006E37E2">
      <w:pPr>
        <w:pStyle w:val="CAR-BodyText-Left"/>
        <w:spacing w:before="240"/>
        <w:sectPr w:rsidR="00854BA6" w:rsidRPr="00AB39A0" w:rsidSect="000450F5">
          <w:headerReference w:type="even" r:id="rId15"/>
          <w:footerReference w:type="even" r:id="rId16"/>
          <w:footerReference w:type="default" r:id="rId17"/>
          <w:pgSz w:w="11907" w:h="16834" w:code="9"/>
          <w:pgMar w:top="2466" w:right="2098" w:bottom="2466" w:left="2098" w:header="1899" w:footer="1899" w:gutter="0"/>
          <w:pgNumType w:fmt="lowerRoman" w:start="1"/>
          <w:cols w:space="720"/>
          <w:titlePg/>
          <w:docGrid w:linePitch="326"/>
        </w:sectPr>
      </w:pPr>
    </w:p>
    <w:p w14:paraId="64A9BE5B" w14:textId="5CD1F7EA" w:rsidR="000134B9" w:rsidRPr="00AB39A0" w:rsidRDefault="000134B9" w:rsidP="000450F5">
      <w:pPr>
        <w:pStyle w:val="CAR-BodyText-Left"/>
        <w:spacing w:after="120"/>
        <w:rPr>
          <w:sz w:val="18"/>
          <w:szCs w:val="18"/>
        </w:rPr>
      </w:pPr>
      <w:r w:rsidRPr="00AB39A0">
        <w:rPr>
          <w:sz w:val="18"/>
          <w:szCs w:val="18"/>
        </w:rPr>
        <w:lastRenderedPageBreak/>
        <w:t xml:space="preserve">© Commonwealth of Australia </w:t>
      </w:r>
      <w:r w:rsidR="006B629B" w:rsidRPr="00AB39A0">
        <w:rPr>
          <w:sz w:val="18"/>
          <w:szCs w:val="18"/>
        </w:rPr>
        <w:t>201</w:t>
      </w:r>
      <w:r w:rsidR="00E573D3">
        <w:rPr>
          <w:sz w:val="18"/>
          <w:szCs w:val="18"/>
        </w:rPr>
        <w:t>7</w:t>
      </w:r>
    </w:p>
    <w:p w14:paraId="7FAB58BF" w14:textId="0ACE2F5A" w:rsidR="000134B9" w:rsidRPr="00AB39A0" w:rsidRDefault="00F23C79" w:rsidP="0000696C">
      <w:pPr>
        <w:spacing w:after="120"/>
        <w:jc w:val="both"/>
        <w:rPr>
          <w:rFonts w:cs="Arial"/>
          <w:color w:val="auto"/>
          <w:sz w:val="20"/>
          <w:szCs w:val="20"/>
        </w:rPr>
      </w:pPr>
      <w:r w:rsidRPr="00AB39A0">
        <w:rPr>
          <w:sz w:val="20"/>
          <w:szCs w:val="20"/>
        </w:rPr>
        <w:t>ISSN</w:t>
      </w:r>
      <w:r w:rsidRPr="00AB39A0">
        <w:rPr>
          <w:rFonts w:cs="Arial"/>
          <w:color w:val="auto"/>
          <w:sz w:val="20"/>
          <w:szCs w:val="20"/>
        </w:rPr>
        <w:t xml:space="preserve"> 1037</w:t>
      </w:r>
      <w:r w:rsidR="00C44375" w:rsidRPr="00AB39A0">
        <w:rPr>
          <w:rFonts w:cs="Arial"/>
          <w:color w:val="auto"/>
          <w:sz w:val="20"/>
          <w:szCs w:val="20"/>
        </w:rPr>
        <w:noBreakHyphen/>
      </w:r>
      <w:r w:rsidRPr="00AB39A0">
        <w:rPr>
          <w:rFonts w:cs="Arial"/>
          <w:color w:val="auto"/>
          <w:sz w:val="20"/>
          <w:szCs w:val="20"/>
        </w:rPr>
        <w:t>3365</w:t>
      </w:r>
    </w:p>
    <w:p w14:paraId="6B78A29A" w14:textId="4CBE80AB" w:rsidR="000134B9" w:rsidRPr="00AB39A0" w:rsidRDefault="000134B9" w:rsidP="0000696C">
      <w:pPr>
        <w:pStyle w:val="Copyrighttext"/>
        <w:jc w:val="both"/>
      </w:pPr>
      <w:r w:rsidRPr="00AB39A0">
        <w:t xml:space="preserve">This publication is available for your use under a </w:t>
      </w:r>
      <w:hyperlink r:id="rId18" w:history="1">
        <w:r w:rsidRPr="00AB39A0">
          <w:t>Creative Commons Attribution 3.0 Australia</w:t>
        </w:r>
      </w:hyperlink>
      <w:r w:rsidRPr="00AB39A0">
        <w:t xml:space="preserve"> licence, with the exception of the Commonwealth Coat of Arms, the </w:t>
      </w:r>
      <w:r w:rsidR="00E573D3">
        <w:t>CADB</w:t>
      </w:r>
      <w:r w:rsidRPr="00AB39A0">
        <w:t xml:space="preserve"> logo, photographs, images, signatures and where otherwise stated. The full licence terms are available from </w:t>
      </w:r>
      <w:hyperlink r:id="rId19" w:history="1">
        <w:r w:rsidRPr="00AB39A0">
          <w:t>http://creativecommons.org/licenses/by/3.0/au/legalcode</w:t>
        </w:r>
      </w:hyperlink>
      <w:r w:rsidRPr="00AB39A0">
        <w:t xml:space="preserve">. </w:t>
      </w:r>
    </w:p>
    <w:p w14:paraId="0E02DA85" w14:textId="2A4C887F" w:rsidR="000134B9" w:rsidRPr="00AB39A0" w:rsidRDefault="009B1600" w:rsidP="0000696C">
      <w:pPr>
        <w:pStyle w:val="ChartGraphic"/>
        <w:jc w:val="both"/>
      </w:pPr>
      <w:r w:rsidRPr="00AB39A0">
        <w:rPr>
          <w:noProof/>
        </w:rPr>
        <w:drawing>
          <wp:inline distT="0" distB="0" distL="0" distR="0" wp14:anchorId="54B43DB7" wp14:editId="02173A05">
            <wp:extent cx="810895" cy="284480"/>
            <wp:effectExtent l="0" t="0" r="8255" b="1270"/>
            <wp:docPr id="1" name="Picture 1" descr="Creative Commons copyright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1E85DB70" w14:textId="4AAA65B3" w:rsidR="000134B9" w:rsidRPr="00AB39A0" w:rsidRDefault="000134B9" w:rsidP="0000696C">
      <w:pPr>
        <w:pStyle w:val="Copyrighttext"/>
        <w:jc w:val="both"/>
      </w:pPr>
      <w:r w:rsidRPr="00AB39A0">
        <w:t xml:space="preserve">Use of </w:t>
      </w:r>
      <w:r w:rsidR="00E573D3">
        <w:t>CADB</w:t>
      </w:r>
      <w:r w:rsidRPr="00AB39A0">
        <w:t xml:space="preserve"> material under a </w:t>
      </w:r>
      <w:hyperlink r:id="rId21" w:history="1">
        <w:r w:rsidRPr="00AB39A0">
          <w:t>Creative Commons Attribution 3.0 Australia</w:t>
        </w:r>
      </w:hyperlink>
      <w:r w:rsidRPr="00AB39A0">
        <w:t xml:space="preserve"> licence requires you to attribute the work (but not in</w:t>
      </w:r>
      <w:r w:rsidR="00CE3103">
        <w:t xml:space="preserve"> any way that suggests that the </w:t>
      </w:r>
      <w:r w:rsidR="00E573D3">
        <w:t>CADB</w:t>
      </w:r>
      <w:r w:rsidR="00CE3103">
        <w:t xml:space="preserve"> </w:t>
      </w:r>
      <w:r w:rsidRPr="00AB39A0">
        <w:t xml:space="preserve">endorses you or your use of the work). </w:t>
      </w:r>
    </w:p>
    <w:p w14:paraId="1040173B" w14:textId="7E20B62D" w:rsidR="000134B9" w:rsidRPr="00AB39A0" w:rsidRDefault="00CE3103" w:rsidP="0000696C">
      <w:pPr>
        <w:pStyle w:val="Copyrighttext"/>
        <w:ind w:left="851"/>
        <w:jc w:val="both"/>
        <w:rPr>
          <w:i/>
        </w:rPr>
      </w:pPr>
      <w:r>
        <w:rPr>
          <w:i/>
        </w:rPr>
        <w:t>Companies Auditors Disciplinary Board</w:t>
      </w:r>
      <w:r w:rsidRPr="00AB39A0">
        <w:rPr>
          <w:i/>
        </w:rPr>
        <w:t xml:space="preserve"> </w:t>
      </w:r>
      <w:r w:rsidR="000134B9" w:rsidRPr="00AB39A0">
        <w:rPr>
          <w:i/>
        </w:rPr>
        <w:t xml:space="preserve">material used </w:t>
      </w:r>
      <w:r w:rsidR="00C44375" w:rsidRPr="00AB39A0">
        <w:rPr>
          <w:i/>
        </w:rPr>
        <w:t>‘</w:t>
      </w:r>
      <w:r w:rsidR="000134B9" w:rsidRPr="00AB39A0">
        <w:rPr>
          <w:i/>
        </w:rPr>
        <w:t>as supplied</w:t>
      </w:r>
      <w:r w:rsidR="00C44375" w:rsidRPr="00AB39A0">
        <w:rPr>
          <w:i/>
        </w:rPr>
        <w:t>’</w:t>
      </w:r>
      <w:r w:rsidR="00F633C6" w:rsidRPr="00AB39A0">
        <w:rPr>
          <w:i/>
        </w:rPr>
        <w:t>.</w:t>
      </w:r>
    </w:p>
    <w:p w14:paraId="05C7E71D" w14:textId="7E5B2A06" w:rsidR="000134B9" w:rsidRPr="00AB39A0" w:rsidRDefault="000134B9" w:rsidP="0000696C">
      <w:pPr>
        <w:pStyle w:val="Copyrighttext"/>
        <w:jc w:val="both"/>
      </w:pPr>
      <w:r w:rsidRPr="00AB39A0">
        <w:t xml:space="preserve">Provided you have not modified or transformed </w:t>
      </w:r>
      <w:r w:rsidR="00E573D3">
        <w:t>CADB</w:t>
      </w:r>
      <w:r w:rsidRPr="00AB39A0">
        <w:t xml:space="preserve"> material in any way including, for example, by changing the </w:t>
      </w:r>
      <w:r w:rsidR="00E573D3">
        <w:t>CADB</w:t>
      </w:r>
      <w:r w:rsidRPr="00AB39A0">
        <w:t xml:space="preserve"> text; calculating percentage changes; graphing or charting data; or deriving new statistics from published </w:t>
      </w:r>
      <w:r w:rsidR="00E573D3">
        <w:t>CADB</w:t>
      </w:r>
      <w:r w:rsidRPr="00AB39A0">
        <w:t xml:space="preserve"> statistics</w:t>
      </w:r>
      <w:r w:rsidR="00F633C6" w:rsidRPr="00AB39A0">
        <w:t xml:space="preserve"> — </w:t>
      </w:r>
      <w:r w:rsidRPr="00AB39A0">
        <w:t xml:space="preserve">then </w:t>
      </w:r>
      <w:r w:rsidR="00E573D3">
        <w:t>CADB</w:t>
      </w:r>
      <w:r w:rsidRPr="00AB39A0">
        <w:t xml:space="preserve"> prefers the following attribution: </w:t>
      </w:r>
    </w:p>
    <w:p w14:paraId="60F9EB3F" w14:textId="6FC4073F" w:rsidR="000134B9" w:rsidRPr="00AB39A0" w:rsidRDefault="00CE3103" w:rsidP="0000696C">
      <w:pPr>
        <w:pStyle w:val="Copyrighttext"/>
        <w:ind w:left="851"/>
        <w:jc w:val="both"/>
        <w:rPr>
          <w:i/>
        </w:rPr>
      </w:pPr>
      <w:r>
        <w:rPr>
          <w:i/>
        </w:rPr>
        <w:t>Source: Companies Auditors Disciplinary Board</w:t>
      </w:r>
    </w:p>
    <w:p w14:paraId="6EC2B410" w14:textId="77777777" w:rsidR="000134B9" w:rsidRPr="00AB39A0" w:rsidRDefault="000134B9" w:rsidP="0000696C">
      <w:pPr>
        <w:pStyle w:val="Copyrightheading"/>
        <w:jc w:val="both"/>
      </w:pPr>
      <w:r w:rsidRPr="00AB39A0">
        <w:t>Derivative material</w:t>
      </w:r>
    </w:p>
    <w:p w14:paraId="3E82C465" w14:textId="77777777" w:rsidR="000134B9" w:rsidRPr="00AB39A0" w:rsidRDefault="000134B9" w:rsidP="0000696C">
      <w:pPr>
        <w:pStyle w:val="Copyrighttext"/>
        <w:spacing w:before="0"/>
        <w:jc w:val="both"/>
      </w:pPr>
      <w:r w:rsidRPr="00AB39A0">
        <w:t xml:space="preserve">If you have modified or transformed Treasury material, or derived new material from those of the Treasury in any way, then Treasury prefers the following attribution: </w:t>
      </w:r>
    </w:p>
    <w:p w14:paraId="39B536D3" w14:textId="29F9D097" w:rsidR="000134B9" w:rsidRPr="00AB39A0" w:rsidRDefault="000134B9" w:rsidP="0000696C">
      <w:pPr>
        <w:pStyle w:val="Copyrighttext"/>
        <w:ind w:left="851"/>
        <w:jc w:val="both"/>
        <w:rPr>
          <w:i/>
        </w:rPr>
      </w:pPr>
      <w:r w:rsidRPr="00AB39A0">
        <w:rPr>
          <w:i/>
        </w:rPr>
        <w:t xml:space="preserve">Based on </w:t>
      </w:r>
      <w:r w:rsidR="00CE3103">
        <w:rPr>
          <w:i/>
        </w:rPr>
        <w:t>Companies Auditors Disciplinary Board</w:t>
      </w:r>
      <w:r w:rsidR="00CE3103" w:rsidRPr="00AB39A0">
        <w:rPr>
          <w:i/>
        </w:rPr>
        <w:t xml:space="preserve"> </w:t>
      </w:r>
      <w:r w:rsidRPr="00AB39A0">
        <w:rPr>
          <w:i/>
        </w:rPr>
        <w:t>data</w:t>
      </w:r>
      <w:r w:rsidR="00F633C6" w:rsidRPr="00AB39A0">
        <w:rPr>
          <w:i/>
        </w:rPr>
        <w:t>.</w:t>
      </w:r>
    </w:p>
    <w:p w14:paraId="78051836" w14:textId="77777777" w:rsidR="000134B9" w:rsidRPr="00AB39A0" w:rsidRDefault="000134B9" w:rsidP="0000696C">
      <w:pPr>
        <w:pStyle w:val="Copyrightheading"/>
        <w:jc w:val="both"/>
      </w:pPr>
      <w:r w:rsidRPr="00AB39A0">
        <w:t>Use of the Coat of Arms</w:t>
      </w:r>
    </w:p>
    <w:p w14:paraId="767ECE78" w14:textId="414901DA" w:rsidR="000134B9" w:rsidRPr="00AB39A0" w:rsidRDefault="000134B9" w:rsidP="0000696C">
      <w:pPr>
        <w:pStyle w:val="Copyrighttext"/>
        <w:spacing w:before="0"/>
        <w:jc w:val="both"/>
      </w:pPr>
      <w:r w:rsidRPr="00AB39A0">
        <w:t>The terms under which the Coat of Arms can be used are set out on the It</w:t>
      </w:r>
      <w:r w:rsidR="00C44375" w:rsidRPr="00AB39A0">
        <w:t>’</w:t>
      </w:r>
      <w:r w:rsidRPr="00AB39A0">
        <w:t xml:space="preserve">s an Honour website (see </w:t>
      </w:r>
      <w:hyperlink r:id="rId22" w:history="1">
        <w:r w:rsidRPr="00AB39A0">
          <w:t>www.itsanhonour.gov.au</w:t>
        </w:r>
      </w:hyperlink>
      <w:r w:rsidRPr="00AB39A0">
        <w:t>)</w:t>
      </w:r>
      <w:r w:rsidR="00F633C6" w:rsidRPr="00AB39A0">
        <w:t>.</w:t>
      </w:r>
    </w:p>
    <w:p w14:paraId="79C3BF5C" w14:textId="77777777" w:rsidR="000134B9" w:rsidRPr="00AB39A0" w:rsidRDefault="000134B9" w:rsidP="0000696C">
      <w:pPr>
        <w:pStyle w:val="Copyrightheading"/>
        <w:jc w:val="both"/>
      </w:pPr>
      <w:r w:rsidRPr="00AB39A0">
        <w:t xml:space="preserve">Other </w:t>
      </w:r>
      <w:r w:rsidR="009C1E76" w:rsidRPr="00AB39A0">
        <w:t>u</w:t>
      </w:r>
      <w:r w:rsidRPr="00AB39A0">
        <w:t>ses</w:t>
      </w:r>
    </w:p>
    <w:p w14:paraId="659130AB" w14:textId="77777777" w:rsidR="000134B9" w:rsidRPr="00AB39A0" w:rsidRDefault="009C1E76" w:rsidP="0000696C">
      <w:pPr>
        <w:pStyle w:val="Copyrighttext"/>
        <w:spacing w:before="0" w:after="0"/>
        <w:jc w:val="both"/>
      </w:pPr>
      <w:r w:rsidRPr="00AB39A0">
        <w:t>E</w:t>
      </w:r>
      <w:r w:rsidR="000134B9" w:rsidRPr="00AB39A0">
        <w:t>nquiries regarding this licence and any other use of this document are welcome at:</w:t>
      </w:r>
    </w:p>
    <w:p w14:paraId="0E0500E4" w14:textId="7FC794F5" w:rsidR="000134B9" w:rsidRPr="00AB39A0" w:rsidRDefault="000450F5" w:rsidP="000450F5">
      <w:pPr>
        <w:pStyle w:val="Copyrighttext"/>
        <w:spacing w:before="0"/>
        <w:ind w:left="567" w:hanging="567"/>
      </w:pPr>
      <w:r w:rsidRPr="00AB39A0">
        <w:t xml:space="preserve"> </w:t>
      </w:r>
      <w:r w:rsidRPr="00AB39A0">
        <w:tab/>
      </w:r>
      <w:r w:rsidR="000134B9" w:rsidRPr="00AB39A0">
        <w:t>Manager</w:t>
      </w:r>
      <w:r w:rsidR="006E37E2" w:rsidRPr="00AB39A0">
        <w:br/>
      </w:r>
      <w:r w:rsidR="000134B9" w:rsidRPr="00AB39A0">
        <w:t xml:space="preserve">Communications </w:t>
      </w:r>
      <w:r w:rsidR="006E37E2" w:rsidRPr="00AB39A0">
        <w:br/>
      </w:r>
      <w:r w:rsidR="000134B9" w:rsidRPr="00AB39A0">
        <w:t>The Treasury</w:t>
      </w:r>
      <w:r w:rsidR="006E37E2" w:rsidRPr="00AB39A0">
        <w:br/>
      </w:r>
      <w:r w:rsidR="000134B9" w:rsidRPr="00AB39A0">
        <w:t xml:space="preserve">Langton Crescent </w:t>
      </w:r>
      <w:r w:rsidR="009C1E76" w:rsidRPr="00AB39A0">
        <w:br/>
      </w:r>
      <w:r w:rsidR="000134B9" w:rsidRPr="00AB39A0">
        <w:t>Parkes</w:t>
      </w:r>
      <w:r w:rsidR="00F633C6" w:rsidRPr="00AB39A0">
        <w:t>  </w:t>
      </w:r>
      <w:r w:rsidR="000134B9" w:rsidRPr="00AB39A0">
        <w:t>ACT</w:t>
      </w:r>
      <w:r w:rsidR="00F633C6" w:rsidRPr="00AB39A0">
        <w:t>  </w:t>
      </w:r>
      <w:r w:rsidR="000134B9" w:rsidRPr="00AB39A0">
        <w:t>2600</w:t>
      </w:r>
      <w:r w:rsidR="006E37E2" w:rsidRPr="00AB39A0">
        <w:br/>
      </w:r>
      <w:r w:rsidR="000134B9" w:rsidRPr="00AB39A0">
        <w:t xml:space="preserve">Email: </w:t>
      </w:r>
      <w:hyperlink r:id="rId23" w:history="1">
        <w:r w:rsidR="000134B9" w:rsidRPr="00AB39A0">
          <w:t>medialiaison@treasury.gov.au</w:t>
        </w:r>
      </w:hyperlink>
      <w:r w:rsidR="000134B9" w:rsidRPr="00AB39A0">
        <w:t xml:space="preserve"> </w:t>
      </w:r>
    </w:p>
    <w:p w14:paraId="70FFEC76" w14:textId="77777777" w:rsidR="00FA27EE" w:rsidRPr="0044740B" w:rsidRDefault="00FA27EE" w:rsidP="005D6C2A">
      <w:pPr>
        <w:pStyle w:val="Copyrightheading"/>
        <w:spacing w:before="240" w:after="120"/>
        <w:rPr>
          <w:sz w:val="22"/>
        </w:rPr>
      </w:pPr>
      <w:r w:rsidRPr="0044740B">
        <w:rPr>
          <w:sz w:val="22"/>
        </w:rPr>
        <w:t>Contact officer</w:t>
      </w:r>
    </w:p>
    <w:p w14:paraId="251F6F91" w14:textId="77777777" w:rsidR="00FA27EE" w:rsidRPr="00AB39A0" w:rsidRDefault="00FA27EE" w:rsidP="00A70BEC">
      <w:pPr>
        <w:pStyle w:val="Copyrighttext"/>
        <w:spacing w:before="60" w:after="60"/>
      </w:pPr>
      <w:r w:rsidRPr="00AB39A0">
        <w:t xml:space="preserve">The contact officer for this annual report is </w:t>
      </w:r>
    </w:p>
    <w:p w14:paraId="4207DB87" w14:textId="77777777" w:rsidR="00FA27EE" w:rsidRPr="00AB39A0" w:rsidRDefault="00FA27EE" w:rsidP="00A70BEC">
      <w:pPr>
        <w:pStyle w:val="Copyrighttext"/>
        <w:spacing w:before="60" w:after="60"/>
        <w:ind w:left="567"/>
      </w:pPr>
      <w:r w:rsidRPr="00AB39A0">
        <w:t>The Registrar</w:t>
      </w:r>
      <w:r w:rsidRPr="00AB39A0">
        <w:br/>
        <w:t xml:space="preserve">Mr Gary Hoare </w:t>
      </w:r>
      <w:r w:rsidRPr="00AB39A0">
        <w:br/>
        <w:t>GPO Box 3731</w:t>
      </w:r>
      <w:r w:rsidRPr="00AB39A0">
        <w:br/>
        <w:t>SYDNEY  NSW  2001</w:t>
      </w:r>
    </w:p>
    <w:p w14:paraId="36D5535C" w14:textId="1C59B726" w:rsidR="00C44375" w:rsidRPr="00AB39A0" w:rsidRDefault="00FA27EE" w:rsidP="00C44375">
      <w:pPr>
        <w:pStyle w:val="Copyrighttext"/>
        <w:spacing w:after="0"/>
        <w:ind w:left="567"/>
        <w:sectPr w:rsidR="00C44375" w:rsidRPr="00AB39A0" w:rsidSect="000450F5">
          <w:headerReference w:type="even" r:id="rId24"/>
          <w:type w:val="evenPage"/>
          <w:pgSz w:w="11907" w:h="16834" w:code="9"/>
          <w:pgMar w:top="2466" w:right="2098" w:bottom="2466" w:left="2098" w:header="1899" w:footer="1899" w:gutter="0"/>
          <w:pgNumType w:fmt="lowerRoman" w:start="1"/>
          <w:cols w:space="720"/>
          <w:docGrid w:linePitch="326"/>
        </w:sectPr>
      </w:pPr>
      <w:r w:rsidRPr="00AB39A0">
        <w:t>Phone: (02) 9911 2970</w:t>
      </w:r>
      <w:r w:rsidR="004A70FC" w:rsidRPr="00AB39A0">
        <w:t xml:space="preserve">; </w:t>
      </w:r>
      <w:r w:rsidRPr="00AB39A0">
        <w:t>Facsimile: (02) 9911 2975</w:t>
      </w:r>
      <w:r w:rsidRPr="00AB39A0">
        <w:br/>
        <w:t xml:space="preserve">Email: </w:t>
      </w:r>
      <w:hyperlink r:id="rId25" w:history="1">
        <w:r w:rsidR="00E573D3" w:rsidRPr="00DB1C5C">
          <w:rPr>
            <w:rStyle w:val="Hyperlink"/>
          </w:rPr>
          <w:t>gary.hoare@cadb.gov.au</w:t>
        </w:r>
      </w:hyperlink>
      <w:r w:rsidRPr="00AB39A0">
        <w:rPr>
          <w:rStyle w:val="Hyperlink"/>
        </w:rPr>
        <w:br/>
      </w:r>
      <w:r w:rsidRPr="00AB39A0">
        <w:t xml:space="preserve">Website: </w:t>
      </w:r>
      <w:hyperlink r:id="rId26" w:history="1">
        <w:r w:rsidR="00E573D3" w:rsidRPr="00DB1C5C">
          <w:rPr>
            <w:rStyle w:val="Hyperlink"/>
          </w:rPr>
          <w:t>www.cadb.gov.au</w:t>
        </w:r>
      </w:hyperlink>
    </w:p>
    <w:p w14:paraId="3F4DC0BC" w14:textId="5724459B" w:rsidR="00F607A8" w:rsidRPr="00AB39A0" w:rsidRDefault="00A77698" w:rsidP="000450F5">
      <w:pPr>
        <w:pStyle w:val="ContentsHeading"/>
        <w:spacing w:after="240"/>
        <w:jc w:val="center"/>
        <w:rPr>
          <w:lang w:eastAsia="en-US"/>
        </w:rPr>
      </w:pPr>
      <w:r w:rsidRPr="00AB39A0">
        <w:rPr>
          <w:lang w:eastAsia="en-US"/>
        </w:rPr>
        <w:lastRenderedPageBreak/>
        <w:t>Table of Contents</w:t>
      </w:r>
    </w:p>
    <w:p w14:paraId="16B39755" w14:textId="77777777" w:rsidR="0044740B" w:rsidRDefault="00487C7E">
      <w:pPr>
        <w:pStyle w:val="TOC1"/>
        <w:rPr>
          <w:rFonts w:asciiTheme="minorHAnsi" w:eastAsiaTheme="minorEastAsia" w:hAnsiTheme="minorHAnsi" w:cstheme="minorBidi"/>
          <w:b w:val="0"/>
          <w:smallCaps w:val="0"/>
          <w:noProof/>
          <w:color w:val="auto"/>
          <w:sz w:val="22"/>
        </w:rPr>
      </w:pPr>
      <w:r w:rsidRPr="00AB39A0">
        <w:rPr>
          <w:sz w:val="26"/>
        </w:rPr>
        <w:fldChar w:fldCharType="begin"/>
      </w:r>
      <w:r w:rsidRPr="00AB39A0">
        <w:instrText xml:space="preserve"> TOC \o "1-3" \h \z \u </w:instrText>
      </w:r>
      <w:r w:rsidRPr="00AB39A0">
        <w:rPr>
          <w:sz w:val="26"/>
        </w:rPr>
        <w:fldChar w:fldCharType="separate"/>
      </w:r>
      <w:hyperlink w:anchor="_Toc460850441" w:history="1">
        <w:r w:rsidR="0044740B" w:rsidRPr="00391AC6">
          <w:rPr>
            <w:rStyle w:val="Hyperlink"/>
            <w:noProof/>
          </w:rPr>
          <w:t>Chairperson’s Review</w:t>
        </w:r>
        <w:r w:rsidR="0044740B">
          <w:rPr>
            <w:noProof/>
            <w:webHidden/>
          </w:rPr>
          <w:tab/>
        </w:r>
        <w:r w:rsidR="0044740B">
          <w:rPr>
            <w:noProof/>
            <w:webHidden/>
          </w:rPr>
          <w:fldChar w:fldCharType="begin"/>
        </w:r>
        <w:r w:rsidR="0044740B">
          <w:rPr>
            <w:noProof/>
            <w:webHidden/>
          </w:rPr>
          <w:instrText xml:space="preserve"> PAGEREF _Toc460850441 \h </w:instrText>
        </w:r>
        <w:r w:rsidR="0044740B">
          <w:rPr>
            <w:noProof/>
            <w:webHidden/>
          </w:rPr>
        </w:r>
        <w:r w:rsidR="0044740B">
          <w:rPr>
            <w:noProof/>
            <w:webHidden/>
          </w:rPr>
          <w:fldChar w:fldCharType="separate"/>
        </w:r>
        <w:r w:rsidR="00236BB5">
          <w:rPr>
            <w:noProof/>
            <w:webHidden/>
          </w:rPr>
          <w:t>1</w:t>
        </w:r>
        <w:r w:rsidR="0044740B">
          <w:rPr>
            <w:noProof/>
            <w:webHidden/>
          </w:rPr>
          <w:fldChar w:fldCharType="end"/>
        </w:r>
      </w:hyperlink>
    </w:p>
    <w:p w14:paraId="02C1540D" w14:textId="77777777" w:rsidR="0044740B" w:rsidRDefault="00F749E8">
      <w:pPr>
        <w:pStyle w:val="TOC1"/>
        <w:rPr>
          <w:rFonts w:asciiTheme="minorHAnsi" w:eastAsiaTheme="minorEastAsia" w:hAnsiTheme="minorHAnsi" w:cstheme="minorBidi"/>
          <w:b w:val="0"/>
          <w:smallCaps w:val="0"/>
          <w:noProof/>
          <w:color w:val="auto"/>
          <w:sz w:val="22"/>
        </w:rPr>
      </w:pPr>
      <w:hyperlink w:anchor="_Toc460850442" w:history="1">
        <w:r w:rsidR="0044740B" w:rsidRPr="00391AC6">
          <w:rPr>
            <w:rStyle w:val="Hyperlink"/>
            <w:noProof/>
          </w:rPr>
          <w:t>Overview</w:t>
        </w:r>
        <w:r w:rsidR="0044740B">
          <w:rPr>
            <w:noProof/>
            <w:webHidden/>
          </w:rPr>
          <w:tab/>
        </w:r>
        <w:r w:rsidR="0044740B">
          <w:rPr>
            <w:noProof/>
            <w:webHidden/>
          </w:rPr>
          <w:fldChar w:fldCharType="begin"/>
        </w:r>
        <w:r w:rsidR="0044740B">
          <w:rPr>
            <w:noProof/>
            <w:webHidden/>
          </w:rPr>
          <w:instrText xml:space="preserve"> PAGEREF _Toc460850442 \h </w:instrText>
        </w:r>
        <w:r w:rsidR="0044740B">
          <w:rPr>
            <w:noProof/>
            <w:webHidden/>
          </w:rPr>
        </w:r>
        <w:r w:rsidR="0044740B">
          <w:rPr>
            <w:noProof/>
            <w:webHidden/>
          </w:rPr>
          <w:fldChar w:fldCharType="separate"/>
        </w:r>
        <w:r w:rsidR="00236BB5">
          <w:rPr>
            <w:noProof/>
            <w:webHidden/>
          </w:rPr>
          <w:t>3</w:t>
        </w:r>
        <w:r w:rsidR="0044740B">
          <w:rPr>
            <w:noProof/>
            <w:webHidden/>
          </w:rPr>
          <w:fldChar w:fldCharType="end"/>
        </w:r>
      </w:hyperlink>
    </w:p>
    <w:p w14:paraId="4DC224BA" w14:textId="77777777" w:rsidR="0044740B" w:rsidRDefault="00F749E8">
      <w:pPr>
        <w:pStyle w:val="TOC2"/>
        <w:rPr>
          <w:rFonts w:asciiTheme="minorHAnsi" w:eastAsiaTheme="minorEastAsia" w:hAnsiTheme="minorHAnsi" w:cstheme="minorBidi"/>
          <w:noProof/>
          <w:color w:val="auto"/>
          <w:szCs w:val="22"/>
        </w:rPr>
      </w:pPr>
      <w:hyperlink w:anchor="_Toc460850443" w:history="1">
        <w:r w:rsidR="0044740B" w:rsidRPr="00391AC6">
          <w:rPr>
            <w:rStyle w:val="Hyperlink"/>
            <w:noProof/>
          </w:rPr>
          <w:t>Current role and purpose</w:t>
        </w:r>
        <w:r w:rsidR="0044740B">
          <w:rPr>
            <w:noProof/>
            <w:webHidden/>
          </w:rPr>
          <w:tab/>
        </w:r>
        <w:r w:rsidR="0044740B">
          <w:rPr>
            <w:noProof/>
            <w:webHidden/>
          </w:rPr>
          <w:fldChar w:fldCharType="begin"/>
        </w:r>
        <w:r w:rsidR="0044740B">
          <w:rPr>
            <w:noProof/>
            <w:webHidden/>
          </w:rPr>
          <w:instrText xml:space="preserve"> PAGEREF _Toc460850443 \h </w:instrText>
        </w:r>
        <w:r w:rsidR="0044740B">
          <w:rPr>
            <w:noProof/>
            <w:webHidden/>
          </w:rPr>
        </w:r>
        <w:r w:rsidR="0044740B">
          <w:rPr>
            <w:noProof/>
            <w:webHidden/>
          </w:rPr>
          <w:fldChar w:fldCharType="separate"/>
        </w:r>
        <w:r w:rsidR="00236BB5">
          <w:rPr>
            <w:noProof/>
            <w:webHidden/>
          </w:rPr>
          <w:t>3</w:t>
        </w:r>
        <w:r w:rsidR="0044740B">
          <w:rPr>
            <w:noProof/>
            <w:webHidden/>
          </w:rPr>
          <w:fldChar w:fldCharType="end"/>
        </w:r>
      </w:hyperlink>
    </w:p>
    <w:p w14:paraId="033E4EB2" w14:textId="04D93356" w:rsidR="00FE2E8B" w:rsidRDefault="00F749E8" w:rsidP="00FE2E8B">
      <w:pPr>
        <w:pStyle w:val="TOC2"/>
        <w:rPr>
          <w:rFonts w:asciiTheme="minorHAnsi" w:eastAsiaTheme="minorEastAsia" w:hAnsiTheme="minorHAnsi" w:cstheme="minorBidi"/>
          <w:noProof/>
          <w:color w:val="auto"/>
          <w:szCs w:val="22"/>
        </w:rPr>
      </w:pPr>
      <w:hyperlink w:anchor="_Toc460850444" w:history="1">
        <w:r w:rsidR="00FE2E8B">
          <w:rPr>
            <w:rStyle w:val="Hyperlink"/>
            <w:noProof/>
          </w:rPr>
          <w:t xml:space="preserve">Effect of </w:t>
        </w:r>
        <w:r w:rsidR="009424AF">
          <w:rPr>
            <w:rStyle w:val="Hyperlink"/>
            <w:noProof/>
          </w:rPr>
          <w:t>Insolvency Law Reform</w:t>
        </w:r>
        <w:r w:rsidR="00FE2E8B">
          <w:rPr>
            <w:rStyle w:val="Hyperlink"/>
            <w:noProof/>
          </w:rPr>
          <w:t xml:space="preserve"> Act on CADB's functions</w:t>
        </w:r>
        <w:r w:rsidR="00FE2E8B">
          <w:rPr>
            <w:noProof/>
            <w:webHidden/>
          </w:rPr>
          <w:tab/>
        </w:r>
        <w:r w:rsidR="00FE2E8B">
          <w:rPr>
            <w:noProof/>
            <w:webHidden/>
          </w:rPr>
          <w:fldChar w:fldCharType="begin"/>
        </w:r>
        <w:r w:rsidR="00FE2E8B">
          <w:rPr>
            <w:noProof/>
            <w:webHidden/>
          </w:rPr>
          <w:instrText xml:space="preserve"> PAGEREF _Toc460850444 \h </w:instrText>
        </w:r>
        <w:r w:rsidR="00FE2E8B">
          <w:rPr>
            <w:noProof/>
            <w:webHidden/>
          </w:rPr>
        </w:r>
        <w:r w:rsidR="00FE2E8B">
          <w:rPr>
            <w:noProof/>
            <w:webHidden/>
          </w:rPr>
          <w:fldChar w:fldCharType="separate"/>
        </w:r>
        <w:r w:rsidR="00236BB5">
          <w:rPr>
            <w:noProof/>
            <w:webHidden/>
          </w:rPr>
          <w:t>4</w:t>
        </w:r>
        <w:r w:rsidR="00FE2E8B">
          <w:rPr>
            <w:noProof/>
            <w:webHidden/>
          </w:rPr>
          <w:fldChar w:fldCharType="end"/>
        </w:r>
      </w:hyperlink>
    </w:p>
    <w:p w14:paraId="2C07E1A5" w14:textId="70E6F6BE" w:rsidR="0044740B" w:rsidRDefault="00F749E8">
      <w:pPr>
        <w:pStyle w:val="TOC2"/>
        <w:rPr>
          <w:rFonts w:asciiTheme="minorHAnsi" w:eastAsiaTheme="minorEastAsia" w:hAnsiTheme="minorHAnsi" w:cstheme="minorBidi"/>
          <w:noProof/>
          <w:color w:val="auto"/>
          <w:szCs w:val="22"/>
        </w:rPr>
      </w:pPr>
      <w:hyperlink w:anchor="_Toc460850444" w:history="1">
        <w:r w:rsidR="0044740B" w:rsidRPr="00391AC6">
          <w:rPr>
            <w:rStyle w:val="Hyperlink"/>
            <w:noProof/>
          </w:rPr>
          <w:t xml:space="preserve">Constitution of </w:t>
        </w:r>
        <w:r w:rsidR="00E573D3">
          <w:rPr>
            <w:rStyle w:val="Hyperlink"/>
            <w:noProof/>
          </w:rPr>
          <w:t>CADB</w:t>
        </w:r>
        <w:r w:rsidR="0044740B" w:rsidRPr="00391AC6">
          <w:rPr>
            <w:rStyle w:val="Hyperlink"/>
            <w:noProof/>
          </w:rPr>
          <w:t xml:space="preserve"> and current Board membership</w:t>
        </w:r>
        <w:r w:rsidR="0044740B">
          <w:rPr>
            <w:noProof/>
            <w:webHidden/>
          </w:rPr>
          <w:tab/>
        </w:r>
        <w:r w:rsidR="0044740B">
          <w:rPr>
            <w:noProof/>
            <w:webHidden/>
          </w:rPr>
          <w:fldChar w:fldCharType="begin"/>
        </w:r>
        <w:r w:rsidR="0044740B">
          <w:rPr>
            <w:noProof/>
            <w:webHidden/>
          </w:rPr>
          <w:instrText xml:space="preserve"> PAGEREF _Toc460850444 \h </w:instrText>
        </w:r>
        <w:r w:rsidR="0044740B">
          <w:rPr>
            <w:noProof/>
            <w:webHidden/>
          </w:rPr>
        </w:r>
        <w:r w:rsidR="0044740B">
          <w:rPr>
            <w:noProof/>
            <w:webHidden/>
          </w:rPr>
          <w:fldChar w:fldCharType="separate"/>
        </w:r>
        <w:r w:rsidR="00236BB5">
          <w:rPr>
            <w:noProof/>
            <w:webHidden/>
          </w:rPr>
          <w:t>4</w:t>
        </w:r>
        <w:r w:rsidR="0044740B">
          <w:rPr>
            <w:noProof/>
            <w:webHidden/>
          </w:rPr>
          <w:fldChar w:fldCharType="end"/>
        </w:r>
      </w:hyperlink>
    </w:p>
    <w:p w14:paraId="45683AE7" w14:textId="41397BA1" w:rsidR="0044740B" w:rsidRDefault="00F749E8">
      <w:pPr>
        <w:pStyle w:val="TOC1"/>
        <w:rPr>
          <w:rFonts w:asciiTheme="minorHAnsi" w:eastAsiaTheme="minorEastAsia" w:hAnsiTheme="minorHAnsi" w:cstheme="minorBidi"/>
          <w:b w:val="0"/>
          <w:smallCaps w:val="0"/>
          <w:noProof/>
          <w:color w:val="auto"/>
          <w:sz w:val="22"/>
        </w:rPr>
      </w:pPr>
      <w:hyperlink w:anchor="_Toc460850445" w:history="1">
        <w:r w:rsidR="0044740B" w:rsidRPr="00391AC6">
          <w:rPr>
            <w:rStyle w:val="Hyperlink"/>
            <w:noProof/>
          </w:rPr>
          <w:t>Operational Information 201</w:t>
        </w:r>
        <w:r w:rsidR="0049442C">
          <w:rPr>
            <w:rStyle w:val="Hyperlink"/>
            <w:noProof/>
          </w:rPr>
          <w:t>6</w:t>
        </w:r>
        <w:r w:rsidR="0044740B" w:rsidRPr="00391AC6">
          <w:rPr>
            <w:rStyle w:val="Hyperlink"/>
            <w:noProof/>
          </w:rPr>
          <w:noBreakHyphen/>
          <w:t>1</w:t>
        </w:r>
        <w:r w:rsidR="0049442C">
          <w:rPr>
            <w:rStyle w:val="Hyperlink"/>
            <w:noProof/>
          </w:rPr>
          <w:t>7</w:t>
        </w:r>
        <w:r w:rsidR="0044740B">
          <w:rPr>
            <w:noProof/>
            <w:webHidden/>
          </w:rPr>
          <w:tab/>
        </w:r>
        <w:r w:rsidR="0044740B">
          <w:rPr>
            <w:noProof/>
            <w:webHidden/>
          </w:rPr>
          <w:fldChar w:fldCharType="begin"/>
        </w:r>
        <w:r w:rsidR="0044740B">
          <w:rPr>
            <w:noProof/>
            <w:webHidden/>
          </w:rPr>
          <w:instrText xml:space="preserve"> PAGEREF _Toc460850445 \h </w:instrText>
        </w:r>
        <w:r w:rsidR="0044740B">
          <w:rPr>
            <w:noProof/>
            <w:webHidden/>
          </w:rPr>
        </w:r>
        <w:r w:rsidR="0044740B">
          <w:rPr>
            <w:noProof/>
            <w:webHidden/>
          </w:rPr>
          <w:fldChar w:fldCharType="separate"/>
        </w:r>
        <w:r w:rsidR="00236BB5">
          <w:rPr>
            <w:noProof/>
            <w:webHidden/>
          </w:rPr>
          <w:t>6</w:t>
        </w:r>
        <w:r w:rsidR="0044740B">
          <w:rPr>
            <w:noProof/>
            <w:webHidden/>
          </w:rPr>
          <w:fldChar w:fldCharType="end"/>
        </w:r>
      </w:hyperlink>
    </w:p>
    <w:p w14:paraId="4AA88017" w14:textId="77777777" w:rsidR="0044740B" w:rsidRDefault="00F749E8">
      <w:pPr>
        <w:pStyle w:val="TOC2"/>
        <w:rPr>
          <w:rFonts w:asciiTheme="minorHAnsi" w:eastAsiaTheme="minorEastAsia" w:hAnsiTheme="minorHAnsi" w:cstheme="minorBidi"/>
          <w:noProof/>
          <w:color w:val="auto"/>
          <w:szCs w:val="22"/>
        </w:rPr>
      </w:pPr>
      <w:hyperlink w:anchor="_Toc460850446" w:history="1">
        <w:r w:rsidR="0044740B" w:rsidRPr="00391AC6">
          <w:rPr>
            <w:rStyle w:val="Hyperlink"/>
            <w:noProof/>
          </w:rPr>
          <w:t>Registrar</w:t>
        </w:r>
        <w:r w:rsidR="0044740B">
          <w:rPr>
            <w:noProof/>
            <w:webHidden/>
          </w:rPr>
          <w:tab/>
        </w:r>
        <w:r w:rsidR="0044740B">
          <w:rPr>
            <w:noProof/>
            <w:webHidden/>
          </w:rPr>
          <w:fldChar w:fldCharType="begin"/>
        </w:r>
        <w:r w:rsidR="0044740B">
          <w:rPr>
            <w:noProof/>
            <w:webHidden/>
          </w:rPr>
          <w:instrText xml:space="preserve"> PAGEREF _Toc460850446 \h </w:instrText>
        </w:r>
        <w:r w:rsidR="0044740B">
          <w:rPr>
            <w:noProof/>
            <w:webHidden/>
          </w:rPr>
        </w:r>
        <w:r w:rsidR="0044740B">
          <w:rPr>
            <w:noProof/>
            <w:webHidden/>
          </w:rPr>
          <w:fldChar w:fldCharType="separate"/>
        </w:r>
        <w:r w:rsidR="00236BB5">
          <w:rPr>
            <w:noProof/>
            <w:webHidden/>
          </w:rPr>
          <w:t>6</w:t>
        </w:r>
        <w:r w:rsidR="0044740B">
          <w:rPr>
            <w:noProof/>
            <w:webHidden/>
          </w:rPr>
          <w:fldChar w:fldCharType="end"/>
        </w:r>
      </w:hyperlink>
    </w:p>
    <w:p w14:paraId="3D46D9D5" w14:textId="77777777" w:rsidR="0044740B" w:rsidRDefault="00F749E8">
      <w:pPr>
        <w:pStyle w:val="TOC2"/>
        <w:rPr>
          <w:rFonts w:asciiTheme="minorHAnsi" w:eastAsiaTheme="minorEastAsia" w:hAnsiTheme="minorHAnsi" w:cstheme="minorBidi"/>
          <w:noProof/>
          <w:color w:val="auto"/>
          <w:szCs w:val="22"/>
        </w:rPr>
      </w:pPr>
      <w:hyperlink w:anchor="_Toc460850447" w:history="1">
        <w:r w:rsidR="0044740B" w:rsidRPr="00391AC6">
          <w:rPr>
            <w:rStyle w:val="Hyperlink"/>
            <w:noProof/>
          </w:rPr>
          <w:t>Premises</w:t>
        </w:r>
        <w:r w:rsidR="0044740B">
          <w:rPr>
            <w:noProof/>
            <w:webHidden/>
          </w:rPr>
          <w:tab/>
        </w:r>
        <w:r w:rsidR="0044740B">
          <w:rPr>
            <w:noProof/>
            <w:webHidden/>
          </w:rPr>
          <w:fldChar w:fldCharType="begin"/>
        </w:r>
        <w:r w:rsidR="0044740B">
          <w:rPr>
            <w:noProof/>
            <w:webHidden/>
          </w:rPr>
          <w:instrText xml:space="preserve"> PAGEREF _Toc460850447 \h </w:instrText>
        </w:r>
        <w:r w:rsidR="0044740B">
          <w:rPr>
            <w:noProof/>
            <w:webHidden/>
          </w:rPr>
        </w:r>
        <w:r w:rsidR="0044740B">
          <w:rPr>
            <w:noProof/>
            <w:webHidden/>
          </w:rPr>
          <w:fldChar w:fldCharType="separate"/>
        </w:r>
        <w:r w:rsidR="00236BB5">
          <w:rPr>
            <w:noProof/>
            <w:webHidden/>
          </w:rPr>
          <w:t>6</w:t>
        </w:r>
        <w:r w:rsidR="0044740B">
          <w:rPr>
            <w:noProof/>
            <w:webHidden/>
          </w:rPr>
          <w:fldChar w:fldCharType="end"/>
        </w:r>
      </w:hyperlink>
    </w:p>
    <w:p w14:paraId="621F944C" w14:textId="5C5F9452" w:rsidR="0044740B" w:rsidRDefault="00F749E8">
      <w:pPr>
        <w:pStyle w:val="TOC2"/>
        <w:rPr>
          <w:rFonts w:asciiTheme="minorHAnsi" w:eastAsiaTheme="minorEastAsia" w:hAnsiTheme="minorHAnsi" w:cstheme="minorBidi"/>
          <w:noProof/>
          <w:color w:val="auto"/>
          <w:szCs w:val="22"/>
        </w:rPr>
      </w:pPr>
      <w:hyperlink w:anchor="_Toc460850448" w:history="1">
        <w:r w:rsidR="0044740B" w:rsidRPr="00391AC6">
          <w:rPr>
            <w:rStyle w:val="Hyperlink"/>
            <w:noProof/>
          </w:rPr>
          <w:t xml:space="preserve">Applications received by </w:t>
        </w:r>
        <w:r w:rsidR="00E573D3">
          <w:rPr>
            <w:rStyle w:val="Hyperlink"/>
            <w:noProof/>
          </w:rPr>
          <w:t>CADB</w:t>
        </w:r>
        <w:r w:rsidR="0044740B" w:rsidRPr="00391AC6">
          <w:rPr>
            <w:rStyle w:val="Hyperlink"/>
            <w:noProof/>
          </w:rPr>
          <w:t xml:space="preserve"> in the reporting year 201</w:t>
        </w:r>
        <w:r w:rsidR="0049442C">
          <w:rPr>
            <w:rStyle w:val="Hyperlink"/>
            <w:noProof/>
          </w:rPr>
          <w:t>6</w:t>
        </w:r>
        <w:r w:rsidR="0044740B" w:rsidRPr="00391AC6">
          <w:rPr>
            <w:rStyle w:val="Hyperlink"/>
            <w:noProof/>
          </w:rPr>
          <w:t>–1</w:t>
        </w:r>
        <w:r w:rsidR="0049442C">
          <w:rPr>
            <w:rStyle w:val="Hyperlink"/>
            <w:noProof/>
          </w:rPr>
          <w:t>7</w:t>
        </w:r>
        <w:r w:rsidR="0044740B">
          <w:rPr>
            <w:noProof/>
            <w:webHidden/>
          </w:rPr>
          <w:tab/>
        </w:r>
        <w:r w:rsidR="0044740B">
          <w:rPr>
            <w:noProof/>
            <w:webHidden/>
          </w:rPr>
          <w:fldChar w:fldCharType="begin"/>
        </w:r>
        <w:r w:rsidR="0044740B">
          <w:rPr>
            <w:noProof/>
            <w:webHidden/>
          </w:rPr>
          <w:instrText xml:space="preserve"> PAGEREF _Toc460850448 \h </w:instrText>
        </w:r>
        <w:r w:rsidR="0044740B">
          <w:rPr>
            <w:noProof/>
            <w:webHidden/>
          </w:rPr>
        </w:r>
        <w:r w:rsidR="0044740B">
          <w:rPr>
            <w:noProof/>
            <w:webHidden/>
          </w:rPr>
          <w:fldChar w:fldCharType="separate"/>
        </w:r>
        <w:r w:rsidR="00236BB5">
          <w:rPr>
            <w:noProof/>
            <w:webHidden/>
          </w:rPr>
          <w:t>6</w:t>
        </w:r>
        <w:r w:rsidR="0044740B">
          <w:rPr>
            <w:noProof/>
            <w:webHidden/>
          </w:rPr>
          <w:fldChar w:fldCharType="end"/>
        </w:r>
      </w:hyperlink>
    </w:p>
    <w:p w14:paraId="7089123B" w14:textId="77777777" w:rsidR="0044740B" w:rsidRDefault="00F749E8">
      <w:pPr>
        <w:pStyle w:val="TOC2"/>
        <w:rPr>
          <w:rFonts w:asciiTheme="minorHAnsi" w:eastAsiaTheme="minorEastAsia" w:hAnsiTheme="minorHAnsi" w:cstheme="minorBidi"/>
          <w:noProof/>
          <w:color w:val="auto"/>
          <w:szCs w:val="22"/>
        </w:rPr>
      </w:pPr>
      <w:hyperlink w:anchor="_Toc460850449" w:history="1">
        <w:r w:rsidR="0044740B" w:rsidRPr="00391AC6">
          <w:rPr>
            <w:rStyle w:val="Hyperlink"/>
            <w:noProof/>
          </w:rPr>
          <w:t>Hearing days during the reporting year</w:t>
        </w:r>
        <w:r w:rsidR="0044740B">
          <w:rPr>
            <w:noProof/>
            <w:webHidden/>
          </w:rPr>
          <w:tab/>
        </w:r>
        <w:r w:rsidR="0044740B">
          <w:rPr>
            <w:noProof/>
            <w:webHidden/>
          </w:rPr>
          <w:fldChar w:fldCharType="begin"/>
        </w:r>
        <w:r w:rsidR="0044740B">
          <w:rPr>
            <w:noProof/>
            <w:webHidden/>
          </w:rPr>
          <w:instrText xml:space="preserve"> PAGEREF _Toc460850449 \h </w:instrText>
        </w:r>
        <w:r w:rsidR="0044740B">
          <w:rPr>
            <w:noProof/>
            <w:webHidden/>
          </w:rPr>
        </w:r>
        <w:r w:rsidR="0044740B">
          <w:rPr>
            <w:noProof/>
            <w:webHidden/>
          </w:rPr>
          <w:fldChar w:fldCharType="separate"/>
        </w:r>
        <w:r w:rsidR="00236BB5">
          <w:rPr>
            <w:noProof/>
            <w:webHidden/>
          </w:rPr>
          <w:t>7</w:t>
        </w:r>
        <w:r w:rsidR="0044740B">
          <w:rPr>
            <w:noProof/>
            <w:webHidden/>
          </w:rPr>
          <w:fldChar w:fldCharType="end"/>
        </w:r>
      </w:hyperlink>
    </w:p>
    <w:p w14:paraId="558D4D7B" w14:textId="77777777" w:rsidR="0044740B" w:rsidRDefault="00F749E8">
      <w:pPr>
        <w:pStyle w:val="TOC2"/>
        <w:rPr>
          <w:rFonts w:asciiTheme="minorHAnsi" w:eastAsiaTheme="minorEastAsia" w:hAnsiTheme="minorHAnsi" w:cstheme="minorBidi"/>
          <w:noProof/>
          <w:color w:val="auto"/>
          <w:szCs w:val="22"/>
        </w:rPr>
      </w:pPr>
      <w:hyperlink w:anchor="_Toc460850450" w:history="1">
        <w:r w:rsidR="0044740B" w:rsidRPr="00391AC6">
          <w:rPr>
            <w:rStyle w:val="Hyperlink"/>
            <w:noProof/>
          </w:rPr>
          <w:t>Results by nature of sanction</w:t>
        </w:r>
        <w:r w:rsidR="0044740B">
          <w:rPr>
            <w:noProof/>
            <w:webHidden/>
          </w:rPr>
          <w:tab/>
        </w:r>
        <w:r w:rsidR="0044740B">
          <w:rPr>
            <w:noProof/>
            <w:webHidden/>
          </w:rPr>
          <w:fldChar w:fldCharType="begin"/>
        </w:r>
        <w:r w:rsidR="0044740B">
          <w:rPr>
            <w:noProof/>
            <w:webHidden/>
          </w:rPr>
          <w:instrText xml:space="preserve"> PAGEREF _Toc460850450 \h </w:instrText>
        </w:r>
        <w:r w:rsidR="0044740B">
          <w:rPr>
            <w:noProof/>
            <w:webHidden/>
          </w:rPr>
        </w:r>
        <w:r w:rsidR="0044740B">
          <w:rPr>
            <w:noProof/>
            <w:webHidden/>
          </w:rPr>
          <w:fldChar w:fldCharType="separate"/>
        </w:r>
        <w:r w:rsidR="00236BB5">
          <w:rPr>
            <w:noProof/>
            <w:webHidden/>
          </w:rPr>
          <w:t>7</w:t>
        </w:r>
        <w:r w:rsidR="0044740B">
          <w:rPr>
            <w:noProof/>
            <w:webHidden/>
          </w:rPr>
          <w:fldChar w:fldCharType="end"/>
        </w:r>
      </w:hyperlink>
    </w:p>
    <w:p w14:paraId="28E23EAD" w14:textId="01AA1133" w:rsidR="0044740B" w:rsidRDefault="00F749E8">
      <w:pPr>
        <w:pStyle w:val="TOC2"/>
        <w:rPr>
          <w:rFonts w:asciiTheme="minorHAnsi" w:eastAsiaTheme="minorEastAsia" w:hAnsiTheme="minorHAnsi" w:cstheme="minorBidi"/>
          <w:noProof/>
          <w:color w:val="auto"/>
          <w:szCs w:val="22"/>
        </w:rPr>
      </w:pPr>
      <w:hyperlink w:anchor="_Toc460850451" w:history="1">
        <w:r w:rsidR="004D2688">
          <w:rPr>
            <w:rStyle w:val="Hyperlink"/>
            <w:noProof/>
          </w:rPr>
          <w:t>Notification and p</w:t>
        </w:r>
        <w:r w:rsidR="0044740B" w:rsidRPr="00391AC6">
          <w:rPr>
            <w:rStyle w:val="Hyperlink"/>
            <w:noProof/>
          </w:rPr>
          <w:t xml:space="preserve">ublication of </w:t>
        </w:r>
        <w:r w:rsidR="00E573D3">
          <w:rPr>
            <w:rStyle w:val="Hyperlink"/>
            <w:noProof/>
          </w:rPr>
          <w:t>CADB</w:t>
        </w:r>
        <w:r w:rsidR="0044740B" w:rsidRPr="00391AC6">
          <w:rPr>
            <w:rStyle w:val="Hyperlink"/>
            <w:noProof/>
          </w:rPr>
          <w:t xml:space="preserve"> decisions</w:t>
        </w:r>
        <w:r w:rsidR="0044740B">
          <w:rPr>
            <w:noProof/>
            <w:webHidden/>
          </w:rPr>
          <w:tab/>
        </w:r>
        <w:r w:rsidR="0044740B">
          <w:rPr>
            <w:noProof/>
            <w:webHidden/>
          </w:rPr>
          <w:fldChar w:fldCharType="begin"/>
        </w:r>
        <w:r w:rsidR="0044740B">
          <w:rPr>
            <w:noProof/>
            <w:webHidden/>
          </w:rPr>
          <w:instrText xml:space="preserve"> PAGEREF _Toc460850451 \h </w:instrText>
        </w:r>
        <w:r w:rsidR="0044740B">
          <w:rPr>
            <w:noProof/>
            <w:webHidden/>
          </w:rPr>
        </w:r>
        <w:r w:rsidR="0044740B">
          <w:rPr>
            <w:noProof/>
            <w:webHidden/>
          </w:rPr>
          <w:fldChar w:fldCharType="separate"/>
        </w:r>
        <w:r w:rsidR="00236BB5">
          <w:rPr>
            <w:noProof/>
            <w:webHidden/>
          </w:rPr>
          <w:t>8</w:t>
        </w:r>
        <w:r w:rsidR="0044740B">
          <w:rPr>
            <w:noProof/>
            <w:webHidden/>
          </w:rPr>
          <w:fldChar w:fldCharType="end"/>
        </w:r>
      </w:hyperlink>
    </w:p>
    <w:p w14:paraId="0A8B4845" w14:textId="77E3917B" w:rsidR="0044740B" w:rsidRDefault="00F749E8">
      <w:pPr>
        <w:pStyle w:val="TOC2"/>
        <w:rPr>
          <w:rFonts w:asciiTheme="minorHAnsi" w:eastAsiaTheme="minorEastAsia" w:hAnsiTheme="minorHAnsi" w:cstheme="minorBidi"/>
          <w:noProof/>
          <w:color w:val="auto"/>
          <w:szCs w:val="22"/>
        </w:rPr>
      </w:pPr>
      <w:hyperlink w:anchor="_Toc460850452" w:history="1">
        <w:r w:rsidR="0044740B" w:rsidRPr="00391AC6">
          <w:rPr>
            <w:rStyle w:val="Hyperlink"/>
            <w:noProof/>
          </w:rPr>
          <w:t xml:space="preserve">Costs orders by </w:t>
        </w:r>
        <w:r w:rsidR="00E573D3">
          <w:rPr>
            <w:rStyle w:val="Hyperlink"/>
            <w:noProof/>
          </w:rPr>
          <w:t>CADB</w:t>
        </w:r>
        <w:r w:rsidR="0044740B">
          <w:rPr>
            <w:noProof/>
            <w:webHidden/>
          </w:rPr>
          <w:tab/>
        </w:r>
        <w:r w:rsidR="0044740B">
          <w:rPr>
            <w:noProof/>
            <w:webHidden/>
          </w:rPr>
          <w:fldChar w:fldCharType="begin"/>
        </w:r>
        <w:r w:rsidR="0044740B">
          <w:rPr>
            <w:noProof/>
            <w:webHidden/>
          </w:rPr>
          <w:instrText xml:space="preserve"> PAGEREF _Toc460850452 \h </w:instrText>
        </w:r>
        <w:r w:rsidR="0044740B">
          <w:rPr>
            <w:noProof/>
            <w:webHidden/>
          </w:rPr>
        </w:r>
        <w:r w:rsidR="0044740B">
          <w:rPr>
            <w:noProof/>
            <w:webHidden/>
          </w:rPr>
          <w:fldChar w:fldCharType="separate"/>
        </w:r>
        <w:r w:rsidR="00236BB5">
          <w:rPr>
            <w:noProof/>
            <w:webHidden/>
          </w:rPr>
          <w:t>8</w:t>
        </w:r>
        <w:r w:rsidR="0044740B">
          <w:rPr>
            <w:noProof/>
            <w:webHidden/>
          </w:rPr>
          <w:fldChar w:fldCharType="end"/>
        </w:r>
      </w:hyperlink>
    </w:p>
    <w:p w14:paraId="1C60353E" w14:textId="588DB0A8" w:rsidR="0044740B" w:rsidRDefault="00F749E8">
      <w:pPr>
        <w:pStyle w:val="TOC2"/>
        <w:rPr>
          <w:rFonts w:asciiTheme="minorHAnsi" w:eastAsiaTheme="minorEastAsia" w:hAnsiTheme="minorHAnsi" w:cstheme="minorBidi"/>
          <w:noProof/>
          <w:color w:val="auto"/>
          <w:szCs w:val="22"/>
        </w:rPr>
      </w:pPr>
      <w:hyperlink w:anchor="_Toc460850453" w:history="1">
        <w:r w:rsidR="0044740B" w:rsidRPr="00391AC6">
          <w:rPr>
            <w:rStyle w:val="Hyperlink"/>
            <w:noProof/>
          </w:rPr>
          <w:t>Review</w:t>
        </w:r>
        <w:r w:rsidR="004D2688">
          <w:rPr>
            <w:rStyle w:val="Hyperlink"/>
            <w:noProof/>
          </w:rPr>
          <w:t>/Appeal</w:t>
        </w:r>
        <w:r w:rsidR="0044740B" w:rsidRPr="00391AC6">
          <w:rPr>
            <w:rStyle w:val="Hyperlink"/>
            <w:noProof/>
          </w:rPr>
          <w:t xml:space="preserve"> of </w:t>
        </w:r>
        <w:r w:rsidR="00E573D3">
          <w:rPr>
            <w:rStyle w:val="Hyperlink"/>
            <w:noProof/>
          </w:rPr>
          <w:t>CADB</w:t>
        </w:r>
        <w:r w:rsidR="0044740B" w:rsidRPr="00391AC6">
          <w:rPr>
            <w:rStyle w:val="Hyperlink"/>
            <w:noProof/>
          </w:rPr>
          <w:t xml:space="preserve"> decisions</w:t>
        </w:r>
        <w:r w:rsidR="0044740B">
          <w:rPr>
            <w:noProof/>
            <w:webHidden/>
          </w:rPr>
          <w:tab/>
        </w:r>
        <w:r w:rsidR="0044740B">
          <w:rPr>
            <w:noProof/>
            <w:webHidden/>
          </w:rPr>
          <w:fldChar w:fldCharType="begin"/>
        </w:r>
        <w:r w:rsidR="0044740B">
          <w:rPr>
            <w:noProof/>
            <w:webHidden/>
          </w:rPr>
          <w:instrText xml:space="preserve"> PAGEREF _Toc460850453 \h </w:instrText>
        </w:r>
        <w:r w:rsidR="0044740B">
          <w:rPr>
            <w:noProof/>
            <w:webHidden/>
          </w:rPr>
        </w:r>
        <w:r w:rsidR="0044740B">
          <w:rPr>
            <w:noProof/>
            <w:webHidden/>
          </w:rPr>
          <w:fldChar w:fldCharType="separate"/>
        </w:r>
        <w:r w:rsidR="00236BB5">
          <w:rPr>
            <w:noProof/>
            <w:webHidden/>
          </w:rPr>
          <w:t>8</w:t>
        </w:r>
        <w:r w:rsidR="0044740B">
          <w:rPr>
            <w:noProof/>
            <w:webHidden/>
          </w:rPr>
          <w:fldChar w:fldCharType="end"/>
        </w:r>
      </w:hyperlink>
    </w:p>
    <w:p w14:paraId="31E74B83" w14:textId="24F21CAB" w:rsidR="0044740B" w:rsidRDefault="00F749E8">
      <w:pPr>
        <w:pStyle w:val="TOC2"/>
        <w:rPr>
          <w:rFonts w:asciiTheme="minorHAnsi" w:eastAsiaTheme="minorEastAsia" w:hAnsiTheme="minorHAnsi" w:cstheme="minorBidi"/>
          <w:noProof/>
          <w:color w:val="auto"/>
          <w:szCs w:val="22"/>
        </w:rPr>
      </w:pPr>
      <w:hyperlink w:anchor="_Toc460850454" w:history="1">
        <w:r w:rsidR="00E573D3">
          <w:rPr>
            <w:rStyle w:val="Hyperlink"/>
            <w:noProof/>
          </w:rPr>
          <w:t>CADB</w:t>
        </w:r>
        <w:r w:rsidR="0044740B" w:rsidRPr="00391AC6">
          <w:rPr>
            <w:rStyle w:val="Hyperlink"/>
            <w:noProof/>
          </w:rPr>
          <w:t xml:space="preserve"> financial information for reporting year</w:t>
        </w:r>
        <w:r w:rsidR="0044740B">
          <w:rPr>
            <w:noProof/>
            <w:webHidden/>
          </w:rPr>
          <w:tab/>
        </w:r>
        <w:r w:rsidR="0044740B">
          <w:rPr>
            <w:noProof/>
            <w:webHidden/>
          </w:rPr>
          <w:fldChar w:fldCharType="begin"/>
        </w:r>
        <w:r w:rsidR="0044740B">
          <w:rPr>
            <w:noProof/>
            <w:webHidden/>
          </w:rPr>
          <w:instrText xml:space="preserve"> PAGEREF _Toc460850454 \h </w:instrText>
        </w:r>
        <w:r w:rsidR="0044740B">
          <w:rPr>
            <w:noProof/>
            <w:webHidden/>
          </w:rPr>
        </w:r>
        <w:r w:rsidR="0044740B">
          <w:rPr>
            <w:noProof/>
            <w:webHidden/>
          </w:rPr>
          <w:fldChar w:fldCharType="separate"/>
        </w:r>
        <w:r w:rsidR="00236BB5">
          <w:rPr>
            <w:noProof/>
            <w:webHidden/>
          </w:rPr>
          <w:t>9</w:t>
        </w:r>
        <w:r w:rsidR="0044740B">
          <w:rPr>
            <w:noProof/>
            <w:webHidden/>
          </w:rPr>
          <w:fldChar w:fldCharType="end"/>
        </w:r>
      </w:hyperlink>
    </w:p>
    <w:p w14:paraId="1148BF14" w14:textId="77777777" w:rsidR="0044740B" w:rsidRDefault="00F749E8">
      <w:pPr>
        <w:pStyle w:val="TOC2"/>
        <w:rPr>
          <w:rFonts w:asciiTheme="minorHAnsi" w:eastAsiaTheme="minorEastAsia" w:hAnsiTheme="minorHAnsi" w:cstheme="minorBidi"/>
          <w:noProof/>
          <w:color w:val="auto"/>
          <w:szCs w:val="22"/>
        </w:rPr>
      </w:pPr>
      <w:hyperlink w:anchor="_Toc460850455" w:history="1">
        <w:r w:rsidR="0044740B" w:rsidRPr="00391AC6">
          <w:rPr>
            <w:rStyle w:val="Hyperlink"/>
            <w:noProof/>
          </w:rPr>
          <w:t>Work health and safety and environmental matters</w:t>
        </w:r>
        <w:r w:rsidR="0044740B">
          <w:rPr>
            <w:noProof/>
            <w:webHidden/>
          </w:rPr>
          <w:tab/>
        </w:r>
        <w:r w:rsidR="0044740B">
          <w:rPr>
            <w:noProof/>
            <w:webHidden/>
          </w:rPr>
          <w:fldChar w:fldCharType="begin"/>
        </w:r>
        <w:r w:rsidR="0044740B">
          <w:rPr>
            <w:noProof/>
            <w:webHidden/>
          </w:rPr>
          <w:instrText xml:space="preserve"> PAGEREF _Toc460850455 \h </w:instrText>
        </w:r>
        <w:r w:rsidR="0044740B">
          <w:rPr>
            <w:noProof/>
            <w:webHidden/>
          </w:rPr>
        </w:r>
        <w:r w:rsidR="0044740B">
          <w:rPr>
            <w:noProof/>
            <w:webHidden/>
          </w:rPr>
          <w:fldChar w:fldCharType="separate"/>
        </w:r>
        <w:r w:rsidR="00236BB5">
          <w:rPr>
            <w:noProof/>
            <w:webHidden/>
          </w:rPr>
          <w:t>10</w:t>
        </w:r>
        <w:r w:rsidR="0044740B">
          <w:rPr>
            <w:noProof/>
            <w:webHidden/>
          </w:rPr>
          <w:fldChar w:fldCharType="end"/>
        </w:r>
      </w:hyperlink>
    </w:p>
    <w:p w14:paraId="2ED7179E" w14:textId="415C3F58" w:rsidR="0044740B" w:rsidRDefault="00F749E8">
      <w:pPr>
        <w:pStyle w:val="TOC2"/>
        <w:rPr>
          <w:rFonts w:asciiTheme="minorHAnsi" w:eastAsiaTheme="minorEastAsia" w:hAnsiTheme="minorHAnsi" w:cstheme="minorBidi"/>
          <w:noProof/>
          <w:color w:val="auto"/>
          <w:szCs w:val="22"/>
        </w:rPr>
      </w:pPr>
      <w:hyperlink w:anchor="_Toc460850456" w:history="1">
        <w:r w:rsidR="0044740B" w:rsidRPr="00391AC6">
          <w:rPr>
            <w:rStyle w:val="Hyperlink"/>
            <w:noProof/>
          </w:rPr>
          <w:t xml:space="preserve">FOI Act and </w:t>
        </w:r>
        <w:r w:rsidR="0067103D">
          <w:rPr>
            <w:rStyle w:val="Hyperlink"/>
            <w:noProof/>
          </w:rPr>
          <w:t>Section</w:t>
        </w:r>
        <w:r w:rsidR="0044740B" w:rsidRPr="00391AC6">
          <w:rPr>
            <w:rStyle w:val="Hyperlink"/>
            <w:noProof/>
          </w:rPr>
          <w:t xml:space="preserve"> 13 AD(JR) Act requests</w:t>
        </w:r>
        <w:r w:rsidR="0044740B">
          <w:rPr>
            <w:noProof/>
            <w:webHidden/>
          </w:rPr>
          <w:tab/>
        </w:r>
        <w:r w:rsidR="0044740B">
          <w:rPr>
            <w:noProof/>
            <w:webHidden/>
          </w:rPr>
          <w:fldChar w:fldCharType="begin"/>
        </w:r>
        <w:r w:rsidR="0044740B">
          <w:rPr>
            <w:noProof/>
            <w:webHidden/>
          </w:rPr>
          <w:instrText xml:space="preserve"> PAGEREF _Toc460850456 \h </w:instrText>
        </w:r>
        <w:r w:rsidR="0044740B">
          <w:rPr>
            <w:noProof/>
            <w:webHidden/>
          </w:rPr>
        </w:r>
        <w:r w:rsidR="0044740B">
          <w:rPr>
            <w:noProof/>
            <w:webHidden/>
          </w:rPr>
          <w:fldChar w:fldCharType="separate"/>
        </w:r>
        <w:r w:rsidR="00236BB5">
          <w:rPr>
            <w:noProof/>
            <w:webHidden/>
          </w:rPr>
          <w:t>11</w:t>
        </w:r>
        <w:r w:rsidR="0044740B">
          <w:rPr>
            <w:noProof/>
            <w:webHidden/>
          </w:rPr>
          <w:fldChar w:fldCharType="end"/>
        </w:r>
      </w:hyperlink>
    </w:p>
    <w:p w14:paraId="0CB1C877" w14:textId="77777777" w:rsidR="0044740B" w:rsidRDefault="00F749E8">
      <w:pPr>
        <w:pStyle w:val="TOC3"/>
        <w:rPr>
          <w:rFonts w:asciiTheme="minorHAnsi" w:eastAsiaTheme="minorEastAsia" w:hAnsiTheme="minorHAnsi" w:cstheme="minorBidi"/>
          <w:noProof/>
          <w:color w:val="auto"/>
          <w:szCs w:val="22"/>
        </w:rPr>
      </w:pPr>
      <w:hyperlink w:anchor="_Toc460850457" w:history="1">
        <w:r w:rsidR="0044740B" w:rsidRPr="00391AC6">
          <w:rPr>
            <w:rStyle w:val="Hyperlink"/>
            <w:noProof/>
          </w:rPr>
          <w:t>Ethics</w:t>
        </w:r>
        <w:r w:rsidR="0044740B">
          <w:rPr>
            <w:noProof/>
            <w:webHidden/>
          </w:rPr>
          <w:tab/>
        </w:r>
        <w:r w:rsidR="0044740B">
          <w:rPr>
            <w:noProof/>
            <w:webHidden/>
          </w:rPr>
          <w:fldChar w:fldCharType="begin"/>
        </w:r>
        <w:r w:rsidR="0044740B">
          <w:rPr>
            <w:noProof/>
            <w:webHidden/>
          </w:rPr>
          <w:instrText xml:space="preserve"> PAGEREF _Toc460850457 \h </w:instrText>
        </w:r>
        <w:r w:rsidR="0044740B">
          <w:rPr>
            <w:noProof/>
            <w:webHidden/>
          </w:rPr>
        </w:r>
        <w:r w:rsidR="0044740B">
          <w:rPr>
            <w:noProof/>
            <w:webHidden/>
          </w:rPr>
          <w:fldChar w:fldCharType="separate"/>
        </w:r>
        <w:r w:rsidR="00236BB5">
          <w:rPr>
            <w:noProof/>
            <w:webHidden/>
          </w:rPr>
          <w:t>11</w:t>
        </w:r>
        <w:r w:rsidR="0044740B">
          <w:rPr>
            <w:noProof/>
            <w:webHidden/>
          </w:rPr>
          <w:fldChar w:fldCharType="end"/>
        </w:r>
      </w:hyperlink>
    </w:p>
    <w:p w14:paraId="1B643C53" w14:textId="77777777" w:rsidR="0044740B" w:rsidRDefault="00F749E8">
      <w:pPr>
        <w:pStyle w:val="TOC3"/>
        <w:rPr>
          <w:rFonts w:asciiTheme="minorHAnsi" w:eastAsiaTheme="minorEastAsia" w:hAnsiTheme="minorHAnsi" w:cstheme="minorBidi"/>
          <w:noProof/>
          <w:color w:val="auto"/>
          <w:szCs w:val="22"/>
        </w:rPr>
      </w:pPr>
      <w:hyperlink w:anchor="_Toc460850458" w:history="1">
        <w:r w:rsidR="0044740B" w:rsidRPr="00391AC6">
          <w:rPr>
            <w:rStyle w:val="Hyperlink"/>
            <w:noProof/>
          </w:rPr>
          <w:t>External scrutiny and accountability</w:t>
        </w:r>
        <w:r w:rsidR="0044740B">
          <w:rPr>
            <w:noProof/>
            <w:webHidden/>
          </w:rPr>
          <w:tab/>
        </w:r>
        <w:r w:rsidR="0044740B">
          <w:rPr>
            <w:noProof/>
            <w:webHidden/>
          </w:rPr>
          <w:fldChar w:fldCharType="begin"/>
        </w:r>
        <w:r w:rsidR="0044740B">
          <w:rPr>
            <w:noProof/>
            <w:webHidden/>
          </w:rPr>
          <w:instrText xml:space="preserve"> PAGEREF _Toc460850458 \h </w:instrText>
        </w:r>
        <w:r w:rsidR="0044740B">
          <w:rPr>
            <w:noProof/>
            <w:webHidden/>
          </w:rPr>
        </w:r>
        <w:r w:rsidR="0044740B">
          <w:rPr>
            <w:noProof/>
            <w:webHidden/>
          </w:rPr>
          <w:fldChar w:fldCharType="separate"/>
        </w:r>
        <w:r w:rsidR="00236BB5">
          <w:rPr>
            <w:noProof/>
            <w:webHidden/>
          </w:rPr>
          <w:t>11</w:t>
        </w:r>
        <w:r w:rsidR="0044740B">
          <w:rPr>
            <w:noProof/>
            <w:webHidden/>
          </w:rPr>
          <w:fldChar w:fldCharType="end"/>
        </w:r>
      </w:hyperlink>
    </w:p>
    <w:p w14:paraId="6F6AED61" w14:textId="7CF7C1A8" w:rsidR="0044740B" w:rsidRDefault="00F749E8">
      <w:pPr>
        <w:pStyle w:val="TOC3"/>
        <w:rPr>
          <w:rFonts w:asciiTheme="minorHAnsi" w:eastAsiaTheme="minorEastAsia" w:hAnsiTheme="minorHAnsi" w:cstheme="minorBidi"/>
          <w:noProof/>
          <w:color w:val="auto"/>
          <w:szCs w:val="22"/>
        </w:rPr>
      </w:pPr>
      <w:hyperlink w:anchor="_Toc460850459" w:history="1">
        <w:r w:rsidR="0044740B" w:rsidRPr="00391AC6">
          <w:rPr>
            <w:rStyle w:val="Hyperlink"/>
            <w:noProof/>
          </w:rPr>
          <w:t>Management of human resources</w:t>
        </w:r>
        <w:r w:rsidR="0044740B">
          <w:rPr>
            <w:noProof/>
            <w:webHidden/>
          </w:rPr>
          <w:tab/>
        </w:r>
        <w:r w:rsidR="0044740B">
          <w:rPr>
            <w:noProof/>
            <w:webHidden/>
          </w:rPr>
          <w:fldChar w:fldCharType="begin"/>
        </w:r>
        <w:r w:rsidR="0044740B">
          <w:rPr>
            <w:noProof/>
            <w:webHidden/>
          </w:rPr>
          <w:instrText xml:space="preserve"> PAGEREF _Toc460850459 \h </w:instrText>
        </w:r>
        <w:r w:rsidR="0044740B">
          <w:rPr>
            <w:noProof/>
            <w:webHidden/>
          </w:rPr>
        </w:r>
        <w:r w:rsidR="0044740B">
          <w:rPr>
            <w:noProof/>
            <w:webHidden/>
          </w:rPr>
          <w:fldChar w:fldCharType="separate"/>
        </w:r>
        <w:r w:rsidR="00236BB5">
          <w:rPr>
            <w:noProof/>
            <w:webHidden/>
          </w:rPr>
          <w:t>11</w:t>
        </w:r>
        <w:r w:rsidR="0044740B">
          <w:rPr>
            <w:noProof/>
            <w:webHidden/>
          </w:rPr>
          <w:fldChar w:fldCharType="end"/>
        </w:r>
      </w:hyperlink>
    </w:p>
    <w:p w14:paraId="74218909" w14:textId="77777777" w:rsidR="0044740B" w:rsidRDefault="00F749E8">
      <w:pPr>
        <w:pStyle w:val="TOC3"/>
        <w:rPr>
          <w:rFonts w:asciiTheme="minorHAnsi" w:eastAsiaTheme="minorEastAsia" w:hAnsiTheme="minorHAnsi" w:cstheme="minorBidi"/>
          <w:noProof/>
          <w:color w:val="auto"/>
          <w:szCs w:val="22"/>
        </w:rPr>
      </w:pPr>
      <w:hyperlink w:anchor="_Toc460850460" w:history="1">
        <w:r w:rsidR="0044740B" w:rsidRPr="00391AC6">
          <w:rPr>
            <w:rStyle w:val="Hyperlink"/>
            <w:noProof/>
          </w:rPr>
          <w:t>Purchasing</w:t>
        </w:r>
        <w:r w:rsidR="0044740B">
          <w:rPr>
            <w:noProof/>
            <w:webHidden/>
          </w:rPr>
          <w:tab/>
        </w:r>
        <w:r w:rsidR="0044740B">
          <w:rPr>
            <w:noProof/>
            <w:webHidden/>
          </w:rPr>
          <w:fldChar w:fldCharType="begin"/>
        </w:r>
        <w:r w:rsidR="0044740B">
          <w:rPr>
            <w:noProof/>
            <w:webHidden/>
          </w:rPr>
          <w:instrText xml:space="preserve"> PAGEREF _Toc460850460 \h </w:instrText>
        </w:r>
        <w:r w:rsidR="0044740B">
          <w:rPr>
            <w:noProof/>
            <w:webHidden/>
          </w:rPr>
        </w:r>
        <w:r w:rsidR="0044740B">
          <w:rPr>
            <w:noProof/>
            <w:webHidden/>
          </w:rPr>
          <w:fldChar w:fldCharType="separate"/>
        </w:r>
        <w:r w:rsidR="00236BB5">
          <w:rPr>
            <w:noProof/>
            <w:webHidden/>
          </w:rPr>
          <w:t>12</w:t>
        </w:r>
        <w:r w:rsidR="0044740B">
          <w:rPr>
            <w:noProof/>
            <w:webHidden/>
          </w:rPr>
          <w:fldChar w:fldCharType="end"/>
        </w:r>
      </w:hyperlink>
    </w:p>
    <w:p w14:paraId="45932690" w14:textId="77777777" w:rsidR="0044740B" w:rsidRDefault="00F749E8">
      <w:pPr>
        <w:pStyle w:val="TOC3"/>
        <w:rPr>
          <w:rFonts w:asciiTheme="minorHAnsi" w:eastAsiaTheme="minorEastAsia" w:hAnsiTheme="minorHAnsi" w:cstheme="minorBidi"/>
          <w:noProof/>
          <w:color w:val="auto"/>
          <w:szCs w:val="22"/>
        </w:rPr>
      </w:pPr>
      <w:hyperlink w:anchor="_Toc460850461" w:history="1">
        <w:r w:rsidR="0044740B" w:rsidRPr="00391AC6">
          <w:rPr>
            <w:rStyle w:val="Hyperlink"/>
            <w:noProof/>
          </w:rPr>
          <w:t>Consultants</w:t>
        </w:r>
        <w:r w:rsidR="0044740B">
          <w:rPr>
            <w:noProof/>
            <w:webHidden/>
          </w:rPr>
          <w:tab/>
        </w:r>
        <w:r w:rsidR="0044740B">
          <w:rPr>
            <w:noProof/>
            <w:webHidden/>
          </w:rPr>
          <w:fldChar w:fldCharType="begin"/>
        </w:r>
        <w:r w:rsidR="0044740B">
          <w:rPr>
            <w:noProof/>
            <w:webHidden/>
          </w:rPr>
          <w:instrText xml:space="preserve"> PAGEREF _Toc460850461 \h </w:instrText>
        </w:r>
        <w:r w:rsidR="0044740B">
          <w:rPr>
            <w:noProof/>
            <w:webHidden/>
          </w:rPr>
        </w:r>
        <w:r w:rsidR="0044740B">
          <w:rPr>
            <w:noProof/>
            <w:webHidden/>
          </w:rPr>
          <w:fldChar w:fldCharType="separate"/>
        </w:r>
        <w:r w:rsidR="00236BB5">
          <w:rPr>
            <w:noProof/>
            <w:webHidden/>
          </w:rPr>
          <w:t>12</w:t>
        </w:r>
        <w:r w:rsidR="0044740B">
          <w:rPr>
            <w:noProof/>
            <w:webHidden/>
          </w:rPr>
          <w:fldChar w:fldCharType="end"/>
        </w:r>
      </w:hyperlink>
    </w:p>
    <w:p w14:paraId="393B4BBD" w14:textId="77777777" w:rsidR="0044740B" w:rsidRDefault="00F749E8">
      <w:pPr>
        <w:pStyle w:val="TOC3"/>
        <w:rPr>
          <w:rFonts w:asciiTheme="minorHAnsi" w:eastAsiaTheme="minorEastAsia" w:hAnsiTheme="minorHAnsi" w:cstheme="minorBidi"/>
          <w:noProof/>
          <w:color w:val="auto"/>
          <w:szCs w:val="22"/>
        </w:rPr>
      </w:pPr>
      <w:hyperlink w:anchor="_Toc460850462" w:history="1">
        <w:r w:rsidR="0044740B" w:rsidRPr="00391AC6">
          <w:rPr>
            <w:rStyle w:val="Hyperlink"/>
            <w:noProof/>
          </w:rPr>
          <w:t>Competitive tendering</w:t>
        </w:r>
        <w:r w:rsidR="0044740B">
          <w:rPr>
            <w:noProof/>
            <w:webHidden/>
          </w:rPr>
          <w:tab/>
        </w:r>
        <w:r w:rsidR="0044740B">
          <w:rPr>
            <w:noProof/>
            <w:webHidden/>
          </w:rPr>
          <w:fldChar w:fldCharType="begin"/>
        </w:r>
        <w:r w:rsidR="0044740B">
          <w:rPr>
            <w:noProof/>
            <w:webHidden/>
          </w:rPr>
          <w:instrText xml:space="preserve"> PAGEREF _Toc460850462 \h </w:instrText>
        </w:r>
        <w:r w:rsidR="0044740B">
          <w:rPr>
            <w:noProof/>
            <w:webHidden/>
          </w:rPr>
        </w:r>
        <w:r w:rsidR="0044740B">
          <w:rPr>
            <w:noProof/>
            <w:webHidden/>
          </w:rPr>
          <w:fldChar w:fldCharType="separate"/>
        </w:r>
        <w:r w:rsidR="00236BB5">
          <w:rPr>
            <w:noProof/>
            <w:webHidden/>
          </w:rPr>
          <w:t>12</w:t>
        </w:r>
        <w:r w:rsidR="0044740B">
          <w:rPr>
            <w:noProof/>
            <w:webHidden/>
          </w:rPr>
          <w:fldChar w:fldCharType="end"/>
        </w:r>
      </w:hyperlink>
    </w:p>
    <w:p w14:paraId="32D55AF1" w14:textId="77777777" w:rsidR="0044740B" w:rsidRDefault="00F749E8">
      <w:pPr>
        <w:pStyle w:val="TOC3"/>
        <w:rPr>
          <w:rFonts w:asciiTheme="minorHAnsi" w:eastAsiaTheme="minorEastAsia" w:hAnsiTheme="minorHAnsi" w:cstheme="minorBidi"/>
          <w:noProof/>
          <w:color w:val="auto"/>
          <w:szCs w:val="22"/>
        </w:rPr>
      </w:pPr>
      <w:hyperlink w:anchor="_Toc460850463" w:history="1">
        <w:r w:rsidR="0044740B" w:rsidRPr="00391AC6">
          <w:rPr>
            <w:rStyle w:val="Hyperlink"/>
            <w:noProof/>
          </w:rPr>
          <w:t>Australian National Audit Office access clauses</w:t>
        </w:r>
        <w:r w:rsidR="0044740B">
          <w:rPr>
            <w:noProof/>
            <w:webHidden/>
          </w:rPr>
          <w:tab/>
        </w:r>
        <w:r w:rsidR="0044740B">
          <w:rPr>
            <w:noProof/>
            <w:webHidden/>
          </w:rPr>
          <w:fldChar w:fldCharType="begin"/>
        </w:r>
        <w:r w:rsidR="0044740B">
          <w:rPr>
            <w:noProof/>
            <w:webHidden/>
          </w:rPr>
          <w:instrText xml:space="preserve"> PAGEREF _Toc460850463 \h </w:instrText>
        </w:r>
        <w:r w:rsidR="0044740B">
          <w:rPr>
            <w:noProof/>
            <w:webHidden/>
          </w:rPr>
        </w:r>
        <w:r w:rsidR="0044740B">
          <w:rPr>
            <w:noProof/>
            <w:webHidden/>
          </w:rPr>
          <w:fldChar w:fldCharType="separate"/>
        </w:r>
        <w:r w:rsidR="00236BB5">
          <w:rPr>
            <w:noProof/>
            <w:webHidden/>
          </w:rPr>
          <w:t>12</w:t>
        </w:r>
        <w:r w:rsidR="0044740B">
          <w:rPr>
            <w:noProof/>
            <w:webHidden/>
          </w:rPr>
          <w:fldChar w:fldCharType="end"/>
        </w:r>
      </w:hyperlink>
    </w:p>
    <w:p w14:paraId="3E0E9BC1" w14:textId="77777777" w:rsidR="0044740B" w:rsidRDefault="00F749E8">
      <w:pPr>
        <w:pStyle w:val="TOC3"/>
        <w:rPr>
          <w:rFonts w:asciiTheme="minorHAnsi" w:eastAsiaTheme="minorEastAsia" w:hAnsiTheme="minorHAnsi" w:cstheme="minorBidi"/>
          <w:noProof/>
          <w:color w:val="auto"/>
          <w:szCs w:val="22"/>
        </w:rPr>
      </w:pPr>
      <w:hyperlink w:anchor="_Toc460850464" w:history="1">
        <w:r w:rsidR="0044740B" w:rsidRPr="00391AC6">
          <w:rPr>
            <w:rStyle w:val="Hyperlink"/>
            <w:noProof/>
          </w:rPr>
          <w:t>Exempt contracts</w:t>
        </w:r>
        <w:r w:rsidR="0044740B">
          <w:rPr>
            <w:noProof/>
            <w:webHidden/>
          </w:rPr>
          <w:tab/>
        </w:r>
        <w:r w:rsidR="0044740B">
          <w:rPr>
            <w:noProof/>
            <w:webHidden/>
          </w:rPr>
          <w:fldChar w:fldCharType="begin"/>
        </w:r>
        <w:r w:rsidR="0044740B">
          <w:rPr>
            <w:noProof/>
            <w:webHidden/>
          </w:rPr>
          <w:instrText xml:space="preserve"> PAGEREF _Toc460850464 \h </w:instrText>
        </w:r>
        <w:r w:rsidR="0044740B">
          <w:rPr>
            <w:noProof/>
            <w:webHidden/>
          </w:rPr>
        </w:r>
        <w:r w:rsidR="0044740B">
          <w:rPr>
            <w:noProof/>
            <w:webHidden/>
          </w:rPr>
          <w:fldChar w:fldCharType="separate"/>
        </w:r>
        <w:r w:rsidR="00236BB5">
          <w:rPr>
            <w:noProof/>
            <w:webHidden/>
          </w:rPr>
          <w:t>12</w:t>
        </w:r>
        <w:r w:rsidR="0044740B">
          <w:rPr>
            <w:noProof/>
            <w:webHidden/>
          </w:rPr>
          <w:fldChar w:fldCharType="end"/>
        </w:r>
      </w:hyperlink>
    </w:p>
    <w:p w14:paraId="517A0A89" w14:textId="77777777" w:rsidR="0044740B" w:rsidRDefault="00F749E8">
      <w:pPr>
        <w:pStyle w:val="TOC3"/>
        <w:rPr>
          <w:rFonts w:asciiTheme="minorHAnsi" w:eastAsiaTheme="minorEastAsia" w:hAnsiTheme="minorHAnsi" w:cstheme="minorBidi"/>
          <w:noProof/>
          <w:color w:val="auto"/>
          <w:szCs w:val="22"/>
        </w:rPr>
      </w:pPr>
      <w:hyperlink w:anchor="_Toc460850465" w:history="1">
        <w:r w:rsidR="0044740B" w:rsidRPr="00391AC6">
          <w:rPr>
            <w:rStyle w:val="Hyperlink"/>
            <w:noProof/>
          </w:rPr>
          <w:t>Advertising and market research</w:t>
        </w:r>
        <w:r w:rsidR="0044740B">
          <w:rPr>
            <w:noProof/>
            <w:webHidden/>
          </w:rPr>
          <w:tab/>
        </w:r>
        <w:r w:rsidR="0044740B">
          <w:rPr>
            <w:noProof/>
            <w:webHidden/>
          </w:rPr>
          <w:fldChar w:fldCharType="begin"/>
        </w:r>
        <w:r w:rsidR="0044740B">
          <w:rPr>
            <w:noProof/>
            <w:webHidden/>
          </w:rPr>
          <w:instrText xml:space="preserve"> PAGEREF _Toc460850465 \h </w:instrText>
        </w:r>
        <w:r w:rsidR="0044740B">
          <w:rPr>
            <w:noProof/>
            <w:webHidden/>
          </w:rPr>
        </w:r>
        <w:r w:rsidR="0044740B">
          <w:rPr>
            <w:noProof/>
            <w:webHidden/>
          </w:rPr>
          <w:fldChar w:fldCharType="separate"/>
        </w:r>
        <w:r w:rsidR="00236BB5">
          <w:rPr>
            <w:noProof/>
            <w:webHidden/>
          </w:rPr>
          <w:t>12</w:t>
        </w:r>
        <w:r w:rsidR="0044740B">
          <w:rPr>
            <w:noProof/>
            <w:webHidden/>
          </w:rPr>
          <w:fldChar w:fldCharType="end"/>
        </w:r>
      </w:hyperlink>
    </w:p>
    <w:p w14:paraId="51F3184A" w14:textId="77777777" w:rsidR="0044740B" w:rsidRDefault="00F749E8">
      <w:pPr>
        <w:pStyle w:val="TOC3"/>
        <w:rPr>
          <w:rFonts w:asciiTheme="minorHAnsi" w:eastAsiaTheme="minorEastAsia" w:hAnsiTheme="minorHAnsi" w:cstheme="minorBidi"/>
          <w:noProof/>
          <w:color w:val="auto"/>
          <w:szCs w:val="22"/>
        </w:rPr>
      </w:pPr>
      <w:hyperlink w:anchor="_Toc460850466" w:history="1">
        <w:r w:rsidR="0044740B" w:rsidRPr="00391AC6">
          <w:rPr>
            <w:rStyle w:val="Hyperlink"/>
            <w:noProof/>
          </w:rPr>
          <w:t>Discretionary grants</w:t>
        </w:r>
        <w:r w:rsidR="0044740B">
          <w:rPr>
            <w:noProof/>
            <w:webHidden/>
          </w:rPr>
          <w:tab/>
        </w:r>
        <w:r w:rsidR="0044740B">
          <w:rPr>
            <w:noProof/>
            <w:webHidden/>
          </w:rPr>
          <w:fldChar w:fldCharType="begin"/>
        </w:r>
        <w:r w:rsidR="0044740B">
          <w:rPr>
            <w:noProof/>
            <w:webHidden/>
          </w:rPr>
          <w:instrText xml:space="preserve"> PAGEREF _Toc460850466 \h </w:instrText>
        </w:r>
        <w:r w:rsidR="0044740B">
          <w:rPr>
            <w:noProof/>
            <w:webHidden/>
          </w:rPr>
        </w:r>
        <w:r w:rsidR="0044740B">
          <w:rPr>
            <w:noProof/>
            <w:webHidden/>
          </w:rPr>
          <w:fldChar w:fldCharType="separate"/>
        </w:r>
        <w:r w:rsidR="00236BB5">
          <w:rPr>
            <w:noProof/>
            <w:webHidden/>
          </w:rPr>
          <w:t>12</w:t>
        </w:r>
        <w:r w:rsidR="0044740B">
          <w:rPr>
            <w:noProof/>
            <w:webHidden/>
          </w:rPr>
          <w:fldChar w:fldCharType="end"/>
        </w:r>
      </w:hyperlink>
    </w:p>
    <w:p w14:paraId="75F7A5A6" w14:textId="77777777" w:rsidR="0044740B" w:rsidRDefault="00F749E8">
      <w:pPr>
        <w:pStyle w:val="TOC1"/>
        <w:rPr>
          <w:rFonts w:asciiTheme="minorHAnsi" w:eastAsiaTheme="minorEastAsia" w:hAnsiTheme="minorHAnsi" w:cstheme="minorBidi"/>
          <w:b w:val="0"/>
          <w:smallCaps w:val="0"/>
          <w:noProof/>
          <w:color w:val="auto"/>
          <w:sz w:val="22"/>
        </w:rPr>
      </w:pPr>
      <w:hyperlink w:anchor="_Toc460850467" w:history="1">
        <w:r w:rsidR="0044740B" w:rsidRPr="00391AC6">
          <w:rPr>
            <w:rStyle w:val="Hyperlink"/>
            <w:noProof/>
          </w:rPr>
          <w:t>Glossary</w:t>
        </w:r>
        <w:r w:rsidR="0044740B">
          <w:rPr>
            <w:noProof/>
            <w:webHidden/>
          </w:rPr>
          <w:tab/>
        </w:r>
        <w:r w:rsidR="0044740B">
          <w:rPr>
            <w:noProof/>
            <w:webHidden/>
          </w:rPr>
          <w:fldChar w:fldCharType="begin"/>
        </w:r>
        <w:r w:rsidR="0044740B">
          <w:rPr>
            <w:noProof/>
            <w:webHidden/>
          </w:rPr>
          <w:instrText xml:space="preserve"> PAGEREF _Toc460850467 \h </w:instrText>
        </w:r>
        <w:r w:rsidR="0044740B">
          <w:rPr>
            <w:noProof/>
            <w:webHidden/>
          </w:rPr>
        </w:r>
        <w:r w:rsidR="0044740B">
          <w:rPr>
            <w:noProof/>
            <w:webHidden/>
          </w:rPr>
          <w:fldChar w:fldCharType="separate"/>
        </w:r>
        <w:r w:rsidR="00236BB5">
          <w:rPr>
            <w:noProof/>
            <w:webHidden/>
          </w:rPr>
          <w:t>13</w:t>
        </w:r>
        <w:r w:rsidR="0044740B">
          <w:rPr>
            <w:noProof/>
            <w:webHidden/>
          </w:rPr>
          <w:fldChar w:fldCharType="end"/>
        </w:r>
      </w:hyperlink>
    </w:p>
    <w:p w14:paraId="389AB82F" w14:textId="77777777" w:rsidR="0044740B" w:rsidRDefault="00F749E8">
      <w:pPr>
        <w:pStyle w:val="TOC1"/>
        <w:rPr>
          <w:rFonts w:asciiTheme="minorHAnsi" w:eastAsiaTheme="minorEastAsia" w:hAnsiTheme="minorHAnsi" w:cstheme="minorBidi"/>
          <w:b w:val="0"/>
          <w:smallCaps w:val="0"/>
          <w:noProof/>
          <w:color w:val="auto"/>
          <w:sz w:val="22"/>
        </w:rPr>
      </w:pPr>
      <w:hyperlink w:anchor="_Toc460850468" w:history="1">
        <w:r w:rsidR="0044740B" w:rsidRPr="00391AC6">
          <w:rPr>
            <w:rStyle w:val="Hyperlink"/>
            <w:noProof/>
          </w:rPr>
          <w:t>Appendix 1</w:t>
        </w:r>
        <w:r w:rsidR="0044740B">
          <w:rPr>
            <w:noProof/>
            <w:webHidden/>
          </w:rPr>
          <w:tab/>
        </w:r>
        <w:r w:rsidR="0044740B">
          <w:rPr>
            <w:noProof/>
            <w:webHidden/>
          </w:rPr>
          <w:fldChar w:fldCharType="begin"/>
        </w:r>
        <w:r w:rsidR="0044740B">
          <w:rPr>
            <w:noProof/>
            <w:webHidden/>
          </w:rPr>
          <w:instrText xml:space="preserve"> PAGEREF _Toc460850468 \h </w:instrText>
        </w:r>
        <w:r w:rsidR="0044740B">
          <w:rPr>
            <w:noProof/>
            <w:webHidden/>
          </w:rPr>
        </w:r>
        <w:r w:rsidR="0044740B">
          <w:rPr>
            <w:noProof/>
            <w:webHidden/>
          </w:rPr>
          <w:fldChar w:fldCharType="separate"/>
        </w:r>
        <w:r w:rsidR="00236BB5">
          <w:rPr>
            <w:noProof/>
            <w:webHidden/>
          </w:rPr>
          <w:t>15</w:t>
        </w:r>
        <w:r w:rsidR="0044740B">
          <w:rPr>
            <w:noProof/>
            <w:webHidden/>
          </w:rPr>
          <w:fldChar w:fldCharType="end"/>
        </w:r>
      </w:hyperlink>
    </w:p>
    <w:p w14:paraId="2298A5B0" w14:textId="51561204" w:rsidR="0044740B" w:rsidRDefault="00F749E8">
      <w:pPr>
        <w:pStyle w:val="TOC2"/>
        <w:rPr>
          <w:rFonts w:asciiTheme="minorHAnsi" w:eastAsiaTheme="minorEastAsia" w:hAnsiTheme="minorHAnsi" w:cstheme="minorBidi"/>
          <w:noProof/>
          <w:color w:val="auto"/>
          <w:szCs w:val="22"/>
        </w:rPr>
      </w:pPr>
      <w:hyperlink w:anchor="_Toc460850469" w:history="1">
        <w:r w:rsidR="00E573D3">
          <w:rPr>
            <w:rStyle w:val="Hyperlink"/>
            <w:noProof/>
          </w:rPr>
          <w:t>CADB</w:t>
        </w:r>
        <w:r w:rsidR="0044740B" w:rsidRPr="00391AC6">
          <w:rPr>
            <w:rStyle w:val="Hyperlink"/>
            <w:noProof/>
          </w:rPr>
          <w:t xml:space="preserve"> procedures with respect to applications</w:t>
        </w:r>
        <w:r w:rsidR="0044740B">
          <w:rPr>
            <w:noProof/>
            <w:webHidden/>
          </w:rPr>
          <w:tab/>
        </w:r>
        <w:r w:rsidR="0044740B">
          <w:rPr>
            <w:noProof/>
            <w:webHidden/>
          </w:rPr>
          <w:fldChar w:fldCharType="begin"/>
        </w:r>
        <w:r w:rsidR="0044740B">
          <w:rPr>
            <w:noProof/>
            <w:webHidden/>
          </w:rPr>
          <w:instrText xml:space="preserve"> PAGEREF _Toc460850469 \h </w:instrText>
        </w:r>
        <w:r w:rsidR="0044740B">
          <w:rPr>
            <w:noProof/>
            <w:webHidden/>
          </w:rPr>
        </w:r>
        <w:r w:rsidR="0044740B">
          <w:rPr>
            <w:noProof/>
            <w:webHidden/>
          </w:rPr>
          <w:fldChar w:fldCharType="separate"/>
        </w:r>
        <w:r w:rsidR="00236BB5">
          <w:rPr>
            <w:noProof/>
            <w:webHidden/>
          </w:rPr>
          <w:t>15</w:t>
        </w:r>
        <w:r w:rsidR="0044740B">
          <w:rPr>
            <w:noProof/>
            <w:webHidden/>
          </w:rPr>
          <w:fldChar w:fldCharType="end"/>
        </w:r>
      </w:hyperlink>
    </w:p>
    <w:p w14:paraId="551916C5" w14:textId="4377FD17" w:rsidR="0044740B" w:rsidRDefault="00F749E8">
      <w:pPr>
        <w:pStyle w:val="TOC2"/>
        <w:rPr>
          <w:rFonts w:asciiTheme="minorHAnsi" w:eastAsiaTheme="minorEastAsia" w:hAnsiTheme="minorHAnsi" w:cstheme="minorBidi"/>
          <w:noProof/>
          <w:color w:val="auto"/>
          <w:szCs w:val="22"/>
        </w:rPr>
      </w:pPr>
      <w:hyperlink w:anchor="_Toc460850470" w:history="1">
        <w:r w:rsidR="0044740B" w:rsidRPr="00391AC6">
          <w:rPr>
            <w:rStyle w:val="Hyperlink"/>
            <w:noProof/>
          </w:rPr>
          <w:t xml:space="preserve">Panel of </w:t>
        </w:r>
        <w:r w:rsidR="00E573D3">
          <w:rPr>
            <w:rStyle w:val="Hyperlink"/>
            <w:noProof/>
          </w:rPr>
          <w:t>CADB</w:t>
        </w:r>
        <w:r w:rsidR="0044740B" w:rsidRPr="00391AC6">
          <w:rPr>
            <w:rStyle w:val="Hyperlink"/>
            <w:noProof/>
          </w:rPr>
          <w:t xml:space="preserve"> members to hear and determine matters</w:t>
        </w:r>
        <w:r w:rsidR="0044740B">
          <w:rPr>
            <w:noProof/>
            <w:webHidden/>
          </w:rPr>
          <w:tab/>
        </w:r>
        <w:r w:rsidR="0044740B">
          <w:rPr>
            <w:noProof/>
            <w:webHidden/>
          </w:rPr>
          <w:fldChar w:fldCharType="begin"/>
        </w:r>
        <w:r w:rsidR="0044740B">
          <w:rPr>
            <w:noProof/>
            <w:webHidden/>
          </w:rPr>
          <w:instrText xml:space="preserve"> PAGEREF _Toc460850470 \h </w:instrText>
        </w:r>
        <w:r w:rsidR="0044740B">
          <w:rPr>
            <w:noProof/>
            <w:webHidden/>
          </w:rPr>
        </w:r>
        <w:r w:rsidR="0044740B">
          <w:rPr>
            <w:noProof/>
            <w:webHidden/>
          </w:rPr>
          <w:fldChar w:fldCharType="separate"/>
        </w:r>
        <w:r w:rsidR="00236BB5">
          <w:rPr>
            <w:noProof/>
            <w:webHidden/>
          </w:rPr>
          <w:t>17</w:t>
        </w:r>
        <w:r w:rsidR="0044740B">
          <w:rPr>
            <w:noProof/>
            <w:webHidden/>
          </w:rPr>
          <w:fldChar w:fldCharType="end"/>
        </w:r>
      </w:hyperlink>
    </w:p>
    <w:p w14:paraId="3E8B687F" w14:textId="77777777" w:rsidR="0044740B" w:rsidRDefault="00F749E8">
      <w:pPr>
        <w:pStyle w:val="TOC1"/>
        <w:rPr>
          <w:rFonts w:asciiTheme="minorHAnsi" w:eastAsiaTheme="minorEastAsia" w:hAnsiTheme="minorHAnsi" w:cstheme="minorBidi"/>
          <w:b w:val="0"/>
          <w:smallCaps w:val="0"/>
          <w:noProof/>
          <w:color w:val="auto"/>
          <w:sz w:val="22"/>
        </w:rPr>
      </w:pPr>
      <w:hyperlink w:anchor="_Toc460850471" w:history="1">
        <w:r w:rsidR="0044740B" w:rsidRPr="00391AC6">
          <w:rPr>
            <w:rStyle w:val="Hyperlink"/>
            <w:noProof/>
          </w:rPr>
          <w:t>Appendix 2</w:t>
        </w:r>
        <w:r w:rsidR="0044740B">
          <w:rPr>
            <w:noProof/>
            <w:webHidden/>
          </w:rPr>
          <w:tab/>
        </w:r>
        <w:r w:rsidR="0044740B">
          <w:rPr>
            <w:noProof/>
            <w:webHidden/>
          </w:rPr>
          <w:fldChar w:fldCharType="begin"/>
        </w:r>
        <w:r w:rsidR="0044740B">
          <w:rPr>
            <w:noProof/>
            <w:webHidden/>
          </w:rPr>
          <w:instrText xml:space="preserve"> PAGEREF _Toc460850471 \h </w:instrText>
        </w:r>
        <w:r w:rsidR="0044740B">
          <w:rPr>
            <w:noProof/>
            <w:webHidden/>
          </w:rPr>
        </w:r>
        <w:r w:rsidR="0044740B">
          <w:rPr>
            <w:noProof/>
            <w:webHidden/>
          </w:rPr>
          <w:fldChar w:fldCharType="separate"/>
        </w:r>
        <w:r w:rsidR="00236BB5">
          <w:rPr>
            <w:noProof/>
            <w:webHidden/>
          </w:rPr>
          <w:t>19</w:t>
        </w:r>
        <w:r w:rsidR="0044740B">
          <w:rPr>
            <w:noProof/>
            <w:webHidden/>
          </w:rPr>
          <w:fldChar w:fldCharType="end"/>
        </w:r>
      </w:hyperlink>
    </w:p>
    <w:p w14:paraId="05349D51" w14:textId="77777777" w:rsidR="0044740B" w:rsidRDefault="00F749E8">
      <w:pPr>
        <w:pStyle w:val="TOC2"/>
        <w:rPr>
          <w:rFonts w:asciiTheme="minorHAnsi" w:eastAsiaTheme="minorEastAsia" w:hAnsiTheme="minorHAnsi" w:cstheme="minorBidi"/>
          <w:noProof/>
          <w:color w:val="auto"/>
          <w:szCs w:val="22"/>
        </w:rPr>
      </w:pPr>
      <w:hyperlink w:anchor="_Toc460850472" w:history="1">
        <w:r w:rsidR="0044740B" w:rsidRPr="00391AC6">
          <w:rPr>
            <w:rStyle w:val="Hyperlink"/>
            <w:noProof/>
          </w:rPr>
          <w:t>Details of current members of the Board</w:t>
        </w:r>
        <w:r w:rsidR="0044740B">
          <w:rPr>
            <w:noProof/>
            <w:webHidden/>
          </w:rPr>
          <w:tab/>
        </w:r>
        <w:r w:rsidR="0044740B">
          <w:rPr>
            <w:noProof/>
            <w:webHidden/>
          </w:rPr>
          <w:fldChar w:fldCharType="begin"/>
        </w:r>
        <w:r w:rsidR="0044740B">
          <w:rPr>
            <w:noProof/>
            <w:webHidden/>
          </w:rPr>
          <w:instrText xml:space="preserve"> PAGEREF _Toc460850472 \h </w:instrText>
        </w:r>
        <w:r w:rsidR="0044740B">
          <w:rPr>
            <w:noProof/>
            <w:webHidden/>
          </w:rPr>
        </w:r>
        <w:r w:rsidR="0044740B">
          <w:rPr>
            <w:noProof/>
            <w:webHidden/>
          </w:rPr>
          <w:fldChar w:fldCharType="separate"/>
        </w:r>
        <w:r w:rsidR="00236BB5">
          <w:rPr>
            <w:noProof/>
            <w:webHidden/>
          </w:rPr>
          <w:t>19</w:t>
        </w:r>
        <w:r w:rsidR="0044740B">
          <w:rPr>
            <w:noProof/>
            <w:webHidden/>
          </w:rPr>
          <w:fldChar w:fldCharType="end"/>
        </w:r>
      </w:hyperlink>
    </w:p>
    <w:p w14:paraId="4E83E359" w14:textId="77777777" w:rsidR="0044740B" w:rsidRDefault="00F749E8">
      <w:pPr>
        <w:pStyle w:val="TOC1"/>
        <w:rPr>
          <w:rFonts w:asciiTheme="minorHAnsi" w:eastAsiaTheme="minorEastAsia" w:hAnsiTheme="minorHAnsi" w:cstheme="minorBidi"/>
          <w:b w:val="0"/>
          <w:smallCaps w:val="0"/>
          <w:noProof/>
          <w:color w:val="auto"/>
          <w:sz w:val="22"/>
        </w:rPr>
      </w:pPr>
      <w:hyperlink w:anchor="_Toc460850473" w:history="1">
        <w:r w:rsidR="0044740B" w:rsidRPr="00391AC6">
          <w:rPr>
            <w:rStyle w:val="Hyperlink"/>
            <w:noProof/>
          </w:rPr>
          <w:t>Appendix 3</w:t>
        </w:r>
        <w:r w:rsidR="0044740B">
          <w:rPr>
            <w:noProof/>
            <w:webHidden/>
          </w:rPr>
          <w:tab/>
        </w:r>
        <w:r w:rsidR="0044740B">
          <w:rPr>
            <w:noProof/>
            <w:webHidden/>
          </w:rPr>
          <w:fldChar w:fldCharType="begin"/>
        </w:r>
        <w:r w:rsidR="0044740B">
          <w:rPr>
            <w:noProof/>
            <w:webHidden/>
          </w:rPr>
          <w:instrText xml:space="preserve"> PAGEREF _Toc460850473 \h </w:instrText>
        </w:r>
        <w:r w:rsidR="0044740B">
          <w:rPr>
            <w:noProof/>
            <w:webHidden/>
          </w:rPr>
        </w:r>
        <w:r w:rsidR="0044740B">
          <w:rPr>
            <w:noProof/>
            <w:webHidden/>
          </w:rPr>
          <w:fldChar w:fldCharType="separate"/>
        </w:r>
        <w:r w:rsidR="00236BB5">
          <w:rPr>
            <w:noProof/>
            <w:webHidden/>
          </w:rPr>
          <w:t>21</w:t>
        </w:r>
        <w:r w:rsidR="0044740B">
          <w:rPr>
            <w:noProof/>
            <w:webHidden/>
          </w:rPr>
          <w:fldChar w:fldCharType="end"/>
        </w:r>
      </w:hyperlink>
    </w:p>
    <w:p w14:paraId="34B5ACA4" w14:textId="365F8844" w:rsidR="0044740B" w:rsidRDefault="00F749E8">
      <w:pPr>
        <w:pStyle w:val="TOC2"/>
        <w:rPr>
          <w:rFonts w:asciiTheme="minorHAnsi" w:eastAsiaTheme="minorEastAsia" w:hAnsiTheme="minorHAnsi" w:cstheme="minorBidi"/>
          <w:noProof/>
          <w:color w:val="auto"/>
          <w:szCs w:val="22"/>
        </w:rPr>
      </w:pPr>
      <w:hyperlink w:anchor="_Toc460850474" w:history="1">
        <w:r w:rsidR="0044740B" w:rsidRPr="00391AC6">
          <w:rPr>
            <w:rStyle w:val="Hyperlink"/>
            <w:noProof/>
          </w:rPr>
          <w:t>Decisions gazetted during the year ended 30 June 201</w:t>
        </w:r>
        <w:r w:rsidR="0049442C">
          <w:rPr>
            <w:rStyle w:val="Hyperlink"/>
            <w:noProof/>
          </w:rPr>
          <w:t>7</w:t>
        </w:r>
        <w:r w:rsidR="0044740B">
          <w:rPr>
            <w:noProof/>
            <w:webHidden/>
          </w:rPr>
          <w:tab/>
        </w:r>
        <w:r w:rsidR="0044740B">
          <w:rPr>
            <w:noProof/>
            <w:webHidden/>
          </w:rPr>
          <w:fldChar w:fldCharType="begin"/>
        </w:r>
        <w:r w:rsidR="0044740B">
          <w:rPr>
            <w:noProof/>
            <w:webHidden/>
          </w:rPr>
          <w:instrText xml:space="preserve"> PAGEREF _Toc460850474 \h </w:instrText>
        </w:r>
        <w:r w:rsidR="0044740B">
          <w:rPr>
            <w:noProof/>
            <w:webHidden/>
          </w:rPr>
        </w:r>
        <w:r w:rsidR="0044740B">
          <w:rPr>
            <w:noProof/>
            <w:webHidden/>
          </w:rPr>
          <w:fldChar w:fldCharType="separate"/>
        </w:r>
        <w:r w:rsidR="00236BB5">
          <w:rPr>
            <w:noProof/>
            <w:webHidden/>
          </w:rPr>
          <w:t>21</w:t>
        </w:r>
        <w:r w:rsidR="0044740B">
          <w:rPr>
            <w:noProof/>
            <w:webHidden/>
          </w:rPr>
          <w:fldChar w:fldCharType="end"/>
        </w:r>
      </w:hyperlink>
    </w:p>
    <w:p w14:paraId="11118E86" w14:textId="77777777" w:rsidR="00B830C9" w:rsidRPr="00AB39A0" w:rsidRDefault="00487C7E" w:rsidP="004A70FC">
      <w:pPr>
        <w:tabs>
          <w:tab w:val="right" w:leader="dot" w:pos="9072"/>
        </w:tabs>
        <w:ind w:right="-1"/>
        <w:rPr>
          <w:b/>
          <w:bCs/>
        </w:rPr>
        <w:sectPr w:rsidR="00B830C9" w:rsidRPr="00AB39A0" w:rsidSect="000450F5">
          <w:headerReference w:type="default" r:id="rId27"/>
          <w:footerReference w:type="default" r:id="rId28"/>
          <w:pgSz w:w="11907" w:h="16834" w:code="9"/>
          <w:pgMar w:top="2466" w:right="2098" w:bottom="2466" w:left="2098" w:header="1899" w:footer="1899" w:gutter="0"/>
          <w:pgNumType w:fmt="lowerRoman"/>
          <w:cols w:space="720"/>
          <w:docGrid w:linePitch="326"/>
        </w:sectPr>
      </w:pPr>
      <w:r w:rsidRPr="00AB39A0">
        <w:rPr>
          <w:b/>
          <w:bCs/>
        </w:rPr>
        <w:fldChar w:fldCharType="end"/>
      </w:r>
    </w:p>
    <w:p w14:paraId="63B73A21" w14:textId="40571636" w:rsidR="00306FBA" w:rsidRPr="00AB39A0" w:rsidRDefault="00F607A8" w:rsidP="00C44375">
      <w:pPr>
        <w:pStyle w:val="Heading1"/>
        <w:rPr>
          <w:lang w:val="en-AU"/>
        </w:rPr>
      </w:pPr>
      <w:bookmarkStart w:id="1" w:name="_Toc460850441"/>
      <w:r w:rsidRPr="00AB39A0">
        <w:rPr>
          <w:lang w:val="en-AU"/>
        </w:rPr>
        <w:lastRenderedPageBreak/>
        <w:t>Chair</w:t>
      </w:r>
      <w:r w:rsidR="00AF4116" w:rsidRPr="00AB39A0">
        <w:rPr>
          <w:lang w:val="en-AU"/>
        </w:rPr>
        <w:t>person</w:t>
      </w:r>
      <w:r w:rsidR="00C44375" w:rsidRPr="00AB39A0">
        <w:rPr>
          <w:lang w:val="en-AU"/>
        </w:rPr>
        <w:t>’</w:t>
      </w:r>
      <w:r w:rsidRPr="00AB39A0">
        <w:rPr>
          <w:lang w:val="en-AU"/>
        </w:rPr>
        <w:t xml:space="preserve">s </w:t>
      </w:r>
      <w:r w:rsidR="00C44375" w:rsidRPr="00AB39A0">
        <w:rPr>
          <w:lang w:val="en-AU"/>
        </w:rPr>
        <w:t>Re</w:t>
      </w:r>
      <w:r w:rsidRPr="00AB39A0">
        <w:rPr>
          <w:lang w:val="en-AU"/>
        </w:rPr>
        <w:t>view</w:t>
      </w:r>
      <w:bookmarkEnd w:id="1"/>
    </w:p>
    <w:p w14:paraId="267CDB2F" w14:textId="6F3FC5D1" w:rsidR="00745EE1" w:rsidRDefault="00F607A8" w:rsidP="0000696C">
      <w:pPr>
        <w:pStyle w:val="CAR-BodyText-Left"/>
        <w:jc w:val="both"/>
      </w:pPr>
      <w:r w:rsidRPr="00436B80">
        <w:t>The</w:t>
      </w:r>
      <w:r w:rsidR="006B629B" w:rsidRPr="00060B27">
        <w:t xml:space="preserve"> 201</w:t>
      </w:r>
      <w:r w:rsidR="0049442C">
        <w:t>6</w:t>
      </w:r>
      <w:r w:rsidR="00C44375" w:rsidRPr="00060B27">
        <w:noBreakHyphen/>
      </w:r>
      <w:r w:rsidR="006B629B" w:rsidRPr="00060B27">
        <w:t>1</w:t>
      </w:r>
      <w:r w:rsidR="0049442C">
        <w:t>7</w:t>
      </w:r>
      <w:r w:rsidRPr="00060B27">
        <w:t xml:space="preserve"> reporting year</w:t>
      </w:r>
      <w:r w:rsidR="00C04996">
        <w:t xml:space="preserve"> ("the year") </w:t>
      </w:r>
      <w:r w:rsidR="00A05F9C">
        <w:t xml:space="preserve">heralded change for the Board.  On 1 March 2017 certain provisions of the Insolvency Law Reform Act came into effect which removed the Board's powers under </w:t>
      </w:r>
      <w:r w:rsidR="0067103D">
        <w:t>Section</w:t>
      </w:r>
      <w:r w:rsidR="00A05F9C">
        <w:t xml:space="preserve"> 1292 of the Corporations Act with respect to liquidators registered </w:t>
      </w:r>
      <w:r w:rsidR="00192B36">
        <w:t>under</w:t>
      </w:r>
      <w:r w:rsidR="006473DE">
        <w:t xml:space="preserve"> the Corporations Act</w:t>
      </w:r>
      <w:r w:rsidR="00192B36">
        <w:t xml:space="preserve">. </w:t>
      </w:r>
      <w:r w:rsidR="00A05F9C">
        <w:t>The practical effect of th</w:t>
      </w:r>
      <w:r w:rsidR="00192B36">
        <w:t>os</w:t>
      </w:r>
      <w:r w:rsidR="00A05F9C">
        <w:t xml:space="preserve">e changes is discussed in more detail in the body of this report and notably involved a change of name from CALDB to CADB.  CADB's powers under </w:t>
      </w:r>
      <w:r w:rsidR="0067103D">
        <w:t>Section</w:t>
      </w:r>
      <w:r w:rsidR="00A05F9C">
        <w:t xml:space="preserve"> 1292 of the Corporations Act with respect to auditors </w:t>
      </w:r>
      <w:r w:rsidR="00F36A54">
        <w:t xml:space="preserve">registered under the Corporations Act </w:t>
      </w:r>
      <w:r w:rsidR="00A05F9C">
        <w:t>remain unchanged</w:t>
      </w:r>
      <w:r w:rsidR="00192B36">
        <w:t>.</w:t>
      </w:r>
      <w:r w:rsidR="00A05F9C">
        <w:t xml:space="preserve"> </w:t>
      </w:r>
    </w:p>
    <w:p w14:paraId="76C06633" w14:textId="6ACAA571" w:rsidR="00AA41BE" w:rsidRPr="00980CB3" w:rsidRDefault="00192B36" w:rsidP="0000696C">
      <w:pPr>
        <w:pStyle w:val="CAR-BodyText-Left"/>
        <w:jc w:val="both"/>
      </w:pPr>
      <w:r>
        <w:t>There was o</w:t>
      </w:r>
      <w:r w:rsidR="00C6036C">
        <w:t>ne conduct</w:t>
      </w:r>
      <w:r w:rsidR="00060B27" w:rsidRPr="00060B27">
        <w:t xml:space="preserve"> hearing</w:t>
      </w:r>
      <w:r w:rsidR="0016079A">
        <w:t xml:space="preserve"> </w:t>
      </w:r>
      <w:r w:rsidR="00745EE1">
        <w:t>convened</w:t>
      </w:r>
      <w:r w:rsidR="0016079A">
        <w:t xml:space="preserve"> </w:t>
      </w:r>
      <w:r w:rsidR="00436B80">
        <w:t>during the</w:t>
      </w:r>
      <w:r w:rsidR="00A05F9C">
        <w:t xml:space="preserve"> reporting</w:t>
      </w:r>
      <w:r w:rsidR="008B59DD">
        <w:t xml:space="preserve"> </w:t>
      </w:r>
      <w:r w:rsidR="00436B80">
        <w:t xml:space="preserve">year. </w:t>
      </w:r>
      <w:r>
        <w:t>That</w:t>
      </w:r>
      <w:r w:rsidR="00745EE1">
        <w:t xml:space="preserve"> hearing</w:t>
      </w:r>
      <w:r w:rsidR="00745EE1" w:rsidRPr="00980CB3">
        <w:t xml:space="preserve"> took place over </w:t>
      </w:r>
      <w:r w:rsidR="0021199D">
        <w:t>three</w:t>
      </w:r>
      <w:r w:rsidR="00745EE1" w:rsidRPr="00980CB3">
        <w:t xml:space="preserve"> days </w:t>
      </w:r>
      <w:r w:rsidR="0021199D">
        <w:t>in October</w:t>
      </w:r>
      <w:r w:rsidR="00745EE1" w:rsidRPr="00980CB3">
        <w:t xml:space="preserve"> 201</w:t>
      </w:r>
      <w:r w:rsidR="00B04A7B">
        <w:t>6</w:t>
      </w:r>
      <w:r w:rsidR="00745EE1" w:rsidRPr="00980CB3">
        <w:t xml:space="preserve"> </w:t>
      </w:r>
      <w:r w:rsidR="00745EE1">
        <w:t xml:space="preserve">and </w:t>
      </w:r>
      <w:r w:rsidR="00E573D3">
        <w:t>CADB</w:t>
      </w:r>
      <w:r w:rsidR="00745EE1" w:rsidRPr="00980CB3">
        <w:t xml:space="preserve">'s final decision was handed down in </w:t>
      </w:r>
      <w:r w:rsidR="0021199D">
        <w:t>December</w:t>
      </w:r>
      <w:r w:rsidR="00745EE1" w:rsidRPr="00980CB3">
        <w:t xml:space="preserve"> 2016</w:t>
      </w:r>
      <w:r w:rsidR="006473DE">
        <w:t>.</w:t>
      </w:r>
      <w:r w:rsidR="00E52F9A">
        <w:t xml:space="preserve"> </w:t>
      </w:r>
      <w:r w:rsidR="006473DE">
        <w:t>A</w:t>
      </w:r>
      <w:r w:rsidR="00745EE1" w:rsidRPr="00980CB3">
        <w:t xml:space="preserve"> copy of the reasons </w:t>
      </w:r>
      <w:r w:rsidR="00745EE1">
        <w:t xml:space="preserve">for decision has been published on </w:t>
      </w:r>
      <w:r w:rsidR="00E573D3">
        <w:t>CADB</w:t>
      </w:r>
      <w:r w:rsidR="00745EE1">
        <w:t>’s website</w:t>
      </w:r>
      <w:r w:rsidR="00745EE1" w:rsidRPr="00980CB3">
        <w:t xml:space="preserve">, </w:t>
      </w:r>
      <w:hyperlink r:id="rId29" w:history="1">
        <w:r w:rsidR="00E573D3" w:rsidRPr="00DB1C5C">
          <w:rPr>
            <w:rStyle w:val="Hyperlink"/>
          </w:rPr>
          <w:t>www.cadb.gov.au</w:t>
        </w:r>
      </w:hyperlink>
      <w:r w:rsidR="00745EE1" w:rsidRPr="00980CB3">
        <w:t>.</w:t>
      </w:r>
      <w:r w:rsidR="00745EE1" w:rsidRPr="00980CB3">
        <w:rPr>
          <w:rStyle w:val="FootnoteReference"/>
        </w:rPr>
        <w:footnoteReference w:id="1"/>
      </w:r>
      <w:r w:rsidR="00745EE1" w:rsidRPr="00980CB3">
        <w:t xml:space="preserve"> </w:t>
      </w:r>
      <w:r w:rsidR="006473DE">
        <w:t xml:space="preserve">In the reporting year one auditor matter was referred to the Board by ASIC.  </w:t>
      </w:r>
      <w:r w:rsidR="007F770B">
        <w:t>The</w:t>
      </w:r>
      <w:r w:rsidR="00980CB3" w:rsidRPr="00980CB3">
        <w:t xml:space="preserve"> new application</w:t>
      </w:r>
      <w:r w:rsidR="003225B1" w:rsidRPr="00980CB3">
        <w:t xml:space="preserve"> </w:t>
      </w:r>
      <w:r w:rsidR="00091CBC" w:rsidRPr="00980CB3">
        <w:t xml:space="preserve">received </w:t>
      </w:r>
      <w:r w:rsidR="007F770B">
        <w:t>during the</w:t>
      </w:r>
      <w:r w:rsidR="002B355B">
        <w:t xml:space="preserve"> </w:t>
      </w:r>
      <w:r>
        <w:t xml:space="preserve">reporting </w:t>
      </w:r>
      <w:r w:rsidR="003F3B78" w:rsidRPr="00980CB3">
        <w:t xml:space="preserve">year is being </w:t>
      </w:r>
      <w:r w:rsidR="001E3ABF" w:rsidRPr="00980CB3">
        <w:t>dealt with</w:t>
      </w:r>
      <w:r w:rsidR="003225B1" w:rsidRPr="00980CB3">
        <w:t xml:space="preserve"> in accordance with the</w:t>
      </w:r>
      <w:r w:rsidR="001E3ABF" w:rsidRPr="00980CB3">
        <w:t xml:space="preserve"> Board</w:t>
      </w:r>
      <w:r w:rsidR="00C44375" w:rsidRPr="00980CB3">
        <w:t>’</w:t>
      </w:r>
      <w:r w:rsidR="001E3ABF" w:rsidRPr="00980CB3">
        <w:t>s pre</w:t>
      </w:r>
      <w:r w:rsidR="00C44375" w:rsidRPr="00980CB3">
        <w:noBreakHyphen/>
      </w:r>
      <w:r w:rsidR="001E3ABF" w:rsidRPr="00980CB3">
        <w:t xml:space="preserve">hearing procedures and </w:t>
      </w:r>
      <w:r>
        <w:t>ha</w:t>
      </w:r>
      <w:r w:rsidR="007F770B">
        <w:t xml:space="preserve">s </w:t>
      </w:r>
      <w:r>
        <w:t xml:space="preserve">been </w:t>
      </w:r>
      <w:r w:rsidR="007F770B">
        <w:t>scheduled</w:t>
      </w:r>
      <w:r w:rsidR="009C563B" w:rsidRPr="00980CB3">
        <w:t xml:space="preserve"> for</w:t>
      </w:r>
      <w:r w:rsidR="003C0591" w:rsidRPr="00980CB3">
        <w:t xml:space="preserve"> </w:t>
      </w:r>
      <w:r w:rsidR="009C563B" w:rsidRPr="00980CB3">
        <w:t>hearing in the next reporting year.</w:t>
      </w:r>
    </w:p>
    <w:p w14:paraId="5B3A58E4" w14:textId="50DEA6C2" w:rsidR="00317C94" w:rsidRPr="00483982" w:rsidRDefault="007F770B" w:rsidP="0000696C">
      <w:pPr>
        <w:pStyle w:val="CAR-BodyText-Left"/>
        <w:jc w:val="both"/>
      </w:pPr>
      <w:r>
        <w:t>At the conclusion of the reporting year</w:t>
      </w:r>
      <w:r w:rsidR="00060B27" w:rsidRPr="00483982">
        <w:t xml:space="preserve"> the Board </w:t>
      </w:r>
      <w:r>
        <w:t>comprised three accounting members, three</w:t>
      </w:r>
      <w:r w:rsidR="00B04A7B">
        <w:t xml:space="preserve"> business member</w:t>
      </w:r>
      <w:r>
        <w:t>s, the Chairperson and the Deputy Chairperson</w:t>
      </w:r>
      <w:r w:rsidR="00DF274F">
        <w:t>. Th</w:t>
      </w:r>
      <w:r w:rsidR="00F36A54">
        <w:t>e number of members</w:t>
      </w:r>
      <w:r w:rsidR="00DF274F">
        <w:t xml:space="preserve"> is less than </w:t>
      </w:r>
      <w:r w:rsidR="00192B36">
        <w:t>prescribed by</w:t>
      </w:r>
      <w:r w:rsidR="00695AAD" w:rsidRPr="00483982">
        <w:t xml:space="preserve"> </w:t>
      </w:r>
      <w:r w:rsidR="0067103D">
        <w:t>Section</w:t>
      </w:r>
      <w:r w:rsidR="00695AAD" w:rsidRPr="00483982">
        <w:t xml:space="preserve"> 203 of </w:t>
      </w:r>
      <w:r w:rsidR="00695AAD">
        <w:t xml:space="preserve">ASIC Act </w:t>
      </w:r>
      <w:r w:rsidR="00192B36">
        <w:t>which provides that CADB consist of a Chairperson, a Deputy Chairperson,</w:t>
      </w:r>
      <w:r w:rsidR="00695AAD">
        <w:t xml:space="preserve"> </w:t>
      </w:r>
      <w:r w:rsidR="00DF274F">
        <w:t xml:space="preserve">six accounting </w:t>
      </w:r>
      <w:r w:rsidR="00395DE3">
        <w:t>members</w:t>
      </w:r>
      <w:r w:rsidR="00192B36">
        <w:t xml:space="preserve"> and </w:t>
      </w:r>
      <w:r w:rsidR="00DF274F">
        <w:t>six business members</w:t>
      </w:r>
      <w:r w:rsidR="00483982" w:rsidRPr="00483982">
        <w:t xml:space="preserve">. </w:t>
      </w:r>
      <w:r w:rsidR="00E573D3">
        <w:t>CADB</w:t>
      </w:r>
      <w:r w:rsidR="00DF274F">
        <w:t xml:space="preserve"> </w:t>
      </w:r>
      <w:r w:rsidR="0038305D">
        <w:t>liaises regularly</w:t>
      </w:r>
      <w:r w:rsidR="00317C94" w:rsidRPr="00483982">
        <w:t xml:space="preserve"> with</w:t>
      </w:r>
      <w:r w:rsidR="00483982" w:rsidRPr="00483982">
        <w:t xml:space="preserve"> t</w:t>
      </w:r>
      <w:r w:rsidR="00CE3103" w:rsidRPr="00483982">
        <w:t xml:space="preserve">he </w:t>
      </w:r>
      <w:r w:rsidR="0038305D">
        <w:t xml:space="preserve">Department of </w:t>
      </w:r>
      <w:r w:rsidR="00317C94" w:rsidRPr="00483982">
        <w:t xml:space="preserve">Treasury regarding </w:t>
      </w:r>
      <w:r w:rsidR="00192B36">
        <w:t xml:space="preserve">prospective </w:t>
      </w:r>
      <w:r w:rsidR="0038305D">
        <w:t xml:space="preserve">suitable </w:t>
      </w:r>
      <w:r w:rsidR="00317C94" w:rsidRPr="00483982">
        <w:t>members</w:t>
      </w:r>
      <w:r w:rsidR="00192B36">
        <w:t xml:space="preserve"> </w:t>
      </w:r>
      <w:r w:rsidR="004D67F9">
        <w:t>for</w:t>
      </w:r>
      <w:r w:rsidR="0038305D">
        <w:t xml:space="preserve"> approv</w:t>
      </w:r>
      <w:r w:rsidR="004D67F9">
        <w:t>al</w:t>
      </w:r>
      <w:r w:rsidR="00E4284F">
        <w:t xml:space="preserve"> and appoint</w:t>
      </w:r>
      <w:r w:rsidR="004D67F9">
        <w:t>ment</w:t>
      </w:r>
      <w:r w:rsidR="0038305D">
        <w:t xml:space="preserve"> </w:t>
      </w:r>
      <w:r w:rsidR="00192B36">
        <w:t>by the Minister</w:t>
      </w:r>
      <w:r w:rsidR="00317C94" w:rsidRPr="00483982">
        <w:t xml:space="preserve"> to </w:t>
      </w:r>
      <w:r w:rsidR="00D66703">
        <w:t>ensure th</w:t>
      </w:r>
      <w:r w:rsidR="002D487E">
        <w:t>at</w:t>
      </w:r>
      <w:r w:rsidR="00D66703">
        <w:t xml:space="preserve"> CADB is adequately resourced to </w:t>
      </w:r>
      <w:r w:rsidR="0038305D">
        <w:t>convene</w:t>
      </w:r>
      <w:r w:rsidR="00D66703">
        <w:t xml:space="preserve"> </w:t>
      </w:r>
      <w:r w:rsidR="00192B36">
        <w:t xml:space="preserve">hearing </w:t>
      </w:r>
      <w:r w:rsidR="00D66703">
        <w:t>panels as required</w:t>
      </w:r>
      <w:r w:rsidR="00C44375" w:rsidRPr="00483982">
        <w:t xml:space="preserve">. </w:t>
      </w:r>
    </w:p>
    <w:p w14:paraId="5CD2C710" w14:textId="11ADFDF9" w:rsidR="002A5F2A" w:rsidRPr="00483982" w:rsidRDefault="00E573D3" w:rsidP="0000696C">
      <w:pPr>
        <w:pStyle w:val="CAR-BodyText-Left"/>
        <w:jc w:val="both"/>
      </w:pPr>
      <w:r>
        <w:t>CADB</w:t>
      </w:r>
      <w:r w:rsidR="002A5F2A" w:rsidRPr="00483982">
        <w:t xml:space="preserve"> </w:t>
      </w:r>
      <w:r w:rsidR="009C563B" w:rsidRPr="00483982">
        <w:t xml:space="preserve">wishes to </w:t>
      </w:r>
      <w:r w:rsidR="002A5F2A" w:rsidRPr="00483982">
        <w:t xml:space="preserve">record its appreciation for the support </w:t>
      </w:r>
      <w:r w:rsidR="00BF7B63" w:rsidRPr="00483982">
        <w:t>that</w:t>
      </w:r>
      <w:r w:rsidR="00896DCD" w:rsidRPr="00483982">
        <w:t xml:space="preserve"> ASIC provides pursuant to </w:t>
      </w:r>
      <w:r w:rsidR="0067103D">
        <w:t>Sub-Section</w:t>
      </w:r>
      <w:r w:rsidR="00483982" w:rsidRPr="00483982">
        <w:t xml:space="preserve"> </w:t>
      </w:r>
      <w:r w:rsidR="002A5F2A" w:rsidRPr="00483982">
        <w:t>11(2)</w:t>
      </w:r>
      <w:r w:rsidR="00192B36">
        <w:t>(a)</w:t>
      </w:r>
      <w:r w:rsidR="002A5F2A" w:rsidRPr="00483982">
        <w:t xml:space="preserve"> of the </w:t>
      </w:r>
      <w:r w:rsidR="009D7BF7" w:rsidRPr="00483982">
        <w:t>ASIC</w:t>
      </w:r>
      <w:r w:rsidR="00483982" w:rsidRPr="00483982">
        <w:t xml:space="preserve"> </w:t>
      </w:r>
      <w:r w:rsidR="009D7BF7" w:rsidRPr="00483982">
        <w:t>Act</w:t>
      </w:r>
      <w:r w:rsidR="002A5F2A" w:rsidRPr="00483982">
        <w:t xml:space="preserve"> and for the assistance </w:t>
      </w:r>
      <w:r w:rsidR="009C563B" w:rsidRPr="00483982">
        <w:t>provided by</w:t>
      </w:r>
      <w:r w:rsidR="002A5F2A" w:rsidRPr="00483982">
        <w:t xml:space="preserve"> </w:t>
      </w:r>
      <w:r w:rsidR="00D66703">
        <w:t xml:space="preserve">the Department of </w:t>
      </w:r>
      <w:r w:rsidR="002A5F2A" w:rsidRPr="00483982">
        <w:t>Treasury</w:t>
      </w:r>
      <w:r w:rsidR="009C563B" w:rsidRPr="00483982">
        <w:t xml:space="preserve"> </w:t>
      </w:r>
      <w:r w:rsidR="00695AAD">
        <w:t>via</w:t>
      </w:r>
      <w:r w:rsidR="002A5F2A" w:rsidRPr="00483982">
        <w:t xml:space="preserve"> its regul</w:t>
      </w:r>
      <w:r w:rsidR="00896DCD" w:rsidRPr="00483982">
        <w:t>ar consultation with the Board.</w:t>
      </w:r>
    </w:p>
    <w:p w14:paraId="69B6D2B4" w14:textId="77777777" w:rsidR="00E4284F" w:rsidRDefault="009C563B" w:rsidP="00F36A54">
      <w:pPr>
        <w:pStyle w:val="CAR-BodyText-Left"/>
        <w:jc w:val="both"/>
      </w:pPr>
      <w:r w:rsidRPr="00483982">
        <w:t xml:space="preserve">Finally </w:t>
      </w:r>
      <w:r w:rsidR="002A5F2A" w:rsidRPr="00483982">
        <w:t xml:space="preserve">I wish to acknowledge and thank each of the members of </w:t>
      </w:r>
      <w:r w:rsidR="00E573D3">
        <w:t>CADB</w:t>
      </w:r>
      <w:r w:rsidR="00D66703">
        <w:t xml:space="preserve"> and the Deputy Chairperson</w:t>
      </w:r>
      <w:r w:rsidR="002A5F2A" w:rsidRPr="00483982">
        <w:t xml:space="preserve">, who so generously contribute their significant experience and expertise on a part time basis, and notwithstanding </w:t>
      </w:r>
      <w:r w:rsidR="00E4284F">
        <w:t>their other commitments</w:t>
      </w:r>
      <w:r w:rsidR="00C44375" w:rsidRPr="00483982">
        <w:t xml:space="preserve">. </w:t>
      </w:r>
    </w:p>
    <w:p w14:paraId="29B542E1" w14:textId="25BE20C1" w:rsidR="00E40549" w:rsidRPr="00AB39A0" w:rsidRDefault="002E0DCD" w:rsidP="00F36A54">
      <w:pPr>
        <w:pStyle w:val="CAR-BodyText-Left"/>
        <w:jc w:val="both"/>
      </w:pPr>
      <w:r w:rsidRPr="00483982">
        <w:t>In the coming year</w:t>
      </w:r>
      <w:r w:rsidR="00A30824" w:rsidRPr="00483982">
        <w:t>,</w:t>
      </w:r>
      <w:r w:rsidRPr="00483982">
        <w:t xml:space="preserve"> </w:t>
      </w:r>
      <w:r w:rsidR="00E573D3">
        <w:t>CADB</w:t>
      </w:r>
      <w:r w:rsidRPr="00483982">
        <w:t xml:space="preserve"> will continue to </w:t>
      </w:r>
      <w:r w:rsidR="00D3071F" w:rsidRPr="00483982">
        <w:t xml:space="preserve">maintain its focus on </w:t>
      </w:r>
      <w:r w:rsidRPr="00483982">
        <w:t>deal</w:t>
      </w:r>
      <w:r w:rsidR="00D3071F" w:rsidRPr="00483982">
        <w:t>ing</w:t>
      </w:r>
      <w:r w:rsidRPr="00483982">
        <w:t xml:space="preserve"> with matters </w:t>
      </w:r>
      <w:r w:rsidR="00024185" w:rsidRPr="00483982">
        <w:t xml:space="preserve">effectively, </w:t>
      </w:r>
      <w:r w:rsidR="00A8704A">
        <w:t>fairly</w:t>
      </w:r>
      <w:r w:rsidRPr="00483982">
        <w:t xml:space="preserve"> and expeditiously in order to </w:t>
      </w:r>
      <w:r w:rsidR="00D3071F" w:rsidRPr="00483982">
        <w:t>ensure</w:t>
      </w:r>
      <w:r w:rsidRPr="00483982">
        <w:t xml:space="preserve"> its </w:t>
      </w:r>
      <w:r w:rsidR="00317C94" w:rsidRPr="00483982">
        <w:t xml:space="preserve">continued </w:t>
      </w:r>
      <w:r w:rsidRPr="00483982">
        <w:t>contribution as a</w:t>
      </w:r>
      <w:r w:rsidR="00D66703">
        <w:t>n</w:t>
      </w:r>
      <w:r w:rsidRPr="00483982">
        <w:t xml:space="preserve"> </w:t>
      </w:r>
      <w:r w:rsidR="00D66703">
        <w:t xml:space="preserve">administrative </w:t>
      </w:r>
      <w:r w:rsidR="00192B36">
        <w:t>decision making body within</w:t>
      </w:r>
      <w:r w:rsidR="00D66703">
        <w:t xml:space="preserve"> the national financial services regulatory scheme establishe</w:t>
      </w:r>
      <w:r w:rsidR="00192B36">
        <w:t>d</w:t>
      </w:r>
      <w:r w:rsidR="00D66703">
        <w:t xml:space="preserve"> by the ASIC Act and the Corporations Act</w:t>
      </w:r>
      <w:r w:rsidR="00494F86" w:rsidRPr="00483982">
        <w:t xml:space="preserve">. </w:t>
      </w:r>
    </w:p>
    <w:p w14:paraId="2E51BB7B" w14:textId="4A5E5729" w:rsidR="002524C7" w:rsidRPr="00AB39A0" w:rsidRDefault="00F464F5" w:rsidP="00B04A7B">
      <w:pPr>
        <w:pStyle w:val="CAR-BodyText-Left"/>
        <w:spacing w:after="120"/>
      </w:pPr>
      <w:r>
        <w:t>Maria McCrossin</w:t>
      </w:r>
      <w:r w:rsidR="00C44375" w:rsidRPr="00AB39A0">
        <w:br/>
      </w:r>
      <w:r w:rsidR="00E40549" w:rsidRPr="00AB39A0">
        <w:t>Chairperson</w:t>
      </w:r>
    </w:p>
    <w:p w14:paraId="10922BB0" w14:textId="77777777" w:rsidR="00B07D95" w:rsidRPr="00AB39A0" w:rsidRDefault="00B07D95" w:rsidP="0000696C">
      <w:pPr>
        <w:pStyle w:val="Heading1"/>
        <w:jc w:val="both"/>
        <w:rPr>
          <w:lang w:val="en-AU"/>
        </w:rPr>
        <w:sectPr w:rsidR="00B07D95" w:rsidRPr="00AB39A0" w:rsidSect="00C44375">
          <w:headerReference w:type="even" r:id="rId30"/>
          <w:headerReference w:type="default" r:id="rId31"/>
          <w:footerReference w:type="default" r:id="rId32"/>
          <w:footerReference w:type="first" r:id="rId33"/>
          <w:type w:val="oddPage"/>
          <w:pgSz w:w="11907" w:h="16834" w:code="9"/>
          <w:pgMar w:top="2466" w:right="2098" w:bottom="2466" w:left="2098" w:header="1899" w:footer="1899" w:gutter="0"/>
          <w:pgNumType w:start="1"/>
          <w:cols w:space="720"/>
          <w:titlePg/>
          <w:docGrid w:linePitch="326"/>
        </w:sectPr>
      </w:pPr>
    </w:p>
    <w:p w14:paraId="52A2B5C9" w14:textId="75FCB92B" w:rsidR="00096908" w:rsidRPr="007C4406" w:rsidRDefault="002E0DCD" w:rsidP="0000696C">
      <w:pPr>
        <w:pStyle w:val="Heading1"/>
        <w:jc w:val="both"/>
        <w:rPr>
          <w:szCs w:val="32"/>
          <w:lang w:val="en-AU"/>
        </w:rPr>
      </w:pPr>
      <w:bookmarkStart w:id="2" w:name="_Toc460850442"/>
      <w:r w:rsidRPr="00C64B6E">
        <w:rPr>
          <w:szCs w:val="32"/>
          <w:lang w:val="en-AU"/>
        </w:rPr>
        <w:lastRenderedPageBreak/>
        <w:t>Overview</w:t>
      </w:r>
      <w:bookmarkEnd w:id="2"/>
    </w:p>
    <w:p w14:paraId="203624BD" w14:textId="4939CE80" w:rsidR="001136FB" w:rsidRDefault="00E573D3" w:rsidP="0000696C">
      <w:pPr>
        <w:pStyle w:val="CAR-BodyText-Left"/>
        <w:jc w:val="both"/>
      </w:pPr>
      <w:r>
        <w:t>CADB</w:t>
      </w:r>
      <w:r w:rsidR="00A7150E" w:rsidRPr="00AB39A0">
        <w:t xml:space="preserve"> is an independent statutory body established </w:t>
      </w:r>
      <w:r w:rsidR="0039258B" w:rsidRPr="00AB39A0">
        <w:t xml:space="preserve">under </w:t>
      </w:r>
      <w:r w:rsidR="00A7150E" w:rsidRPr="00AB39A0">
        <w:t>Part 11 of the</w:t>
      </w:r>
      <w:r w:rsidR="00317C94" w:rsidRPr="00AB39A0">
        <w:t xml:space="preserve"> </w:t>
      </w:r>
      <w:r w:rsidR="00A7150E" w:rsidRPr="00AB39A0">
        <w:t>ASIC Act</w:t>
      </w:r>
      <w:r w:rsidR="005F2C79">
        <w:t xml:space="preserve">. </w:t>
      </w:r>
      <w:r w:rsidR="003C0591" w:rsidRPr="00AB39A0">
        <w:t xml:space="preserve"> </w:t>
      </w:r>
      <w:r w:rsidR="005F2C79">
        <w:t>Its</w:t>
      </w:r>
      <w:r w:rsidR="00A7150E" w:rsidRPr="00AB39A0">
        <w:t xml:space="preserve"> powers and functions </w:t>
      </w:r>
      <w:r w:rsidR="005F2C79">
        <w:t>are conferred under</w:t>
      </w:r>
      <w:r w:rsidR="00A7150E" w:rsidRPr="00AB39A0">
        <w:t xml:space="preserve"> Part 9.2 of the </w:t>
      </w:r>
      <w:r w:rsidR="00A7150E" w:rsidRPr="00AB39A0">
        <w:rPr>
          <w:iCs/>
        </w:rPr>
        <w:t>Corporations Act</w:t>
      </w:r>
      <w:r w:rsidR="009821EF">
        <w:rPr>
          <w:iCs/>
        </w:rPr>
        <w:t xml:space="preserve"> and Part</w:t>
      </w:r>
      <w:r w:rsidR="005F2C79">
        <w:rPr>
          <w:iCs/>
        </w:rPr>
        <w:t xml:space="preserve"> </w:t>
      </w:r>
      <w:r w:rsidR="00DD3298" w:rsidRPr="00AB39A0">
        <w:rPr>
          <w:iCs/>
        </w:rPr>
        <w:t xml:space="preserve">11 of the </w:t>
      </w:r>
      <w:r w:rsidR="009D7BF7" w:rsidRPr="00AB39A0">
        <w:t>ASIC Act</w:t>
      </w:r>
      <w:r w:rsidR="00494F86" w:rsidRPr="00AB39A0">
        <w:t xml:space="preserve">. </w:t>
      </w:r>
      <w:r w:rsidR="008B59DD">
        <w:t xml:space="preserve">It </w:t>
      </w:r>
      <w:r w:rsidR="00695AAD">
        <w:t xml:space="preserve">is </w:t>
      </w:r>
      <w:r w:rsidR="008B59DD">
        <w:t>constituted by</w:t>
      </w:r>
      <w:r w:rsidR="003E7743" w:rsidRPr="00AB39A0">
        <w:t xml:space="preserve"> part time </w:t>
      </w:r>
      <w:r w:rsidR="008B59DD">
        <w:t>accounting</w:t>
      </w:r>
      <w:r w:rsidR="008B59DD" w:rsidRPr="00AB39A0">
        <w:t xml:space="preserve"> </w:t>
      </w:r>
      <w:r w:rsidR="003E7743" w:rsidRPr="00AB39A0">
        <w:t>and business members a</w:t>
      </w:r>
      <w:r w:rsidR="003E7743">
        <w:t xml:space="preserve">ppointed </w:t>
      </w:r>
      <w:r w:rsidR="005F2C79">
        <w:t>from time to time</w:t>
      </w:r>
      <w:r w:rsidR="00C10AF8">
        <w:t xml:space="preserve"> for terms of up to three years</w:t>
      </w:r>
      <w:r w:rsidR="005F2C79">
        <w:t xml:space="preserve"> </w:t>
      </w:r>
      <w:r w:rsidR="003E7743">
        <w:t>by the Minister</w:t>
      </w:r>
      <w:r w:rsidR="00D66703">
        <w:t xml:space="preserve"> for Revenue and Financial Services, who is the </w:t>
      </w:r>
      <w:r w:rsidR="00C10AF8">
        <w:t>m</w:t>
      </w:r>
      <w:r w:rsidR="00D66703">
        <w:t>inister responsible for CADB</w:t>
      </w:r>
      <w:r w:rsidR="00695AAD">
        <w:t xml:space="preserve">. </w:t>
      </w:r>
      <w:r w:rsidR="005F2C79">
        <w:t xml:space="preserve">In conjunction with </w:t>
      </w:r>
      <w:r w:rsidR="003E7743" w:rsidRPr="00EA06B2">
        <w:t>several other bodies,</w:t>
      </w:r>
      <w:r w:rsidR="003E7743" w:rsidRPr="00AB39A0">
        <w:t xml:space="preserve"> including </w:t>
      </w:r>
      <w:r w:rsidR="0093057B">
        <w:t>ASIC</w:t>
      </w:r>
      <w:r w:rsidR="003E7743" w:rsidRPr="00AB39A0">
        <w:t xml:space="preserve">, </w:t>
      </w:r>
      <w:r w:rsidR="0093057B">
        <w:t>APRA</w:t>
      </w:r>
      <w:r w:rsidR="003E7743" w:rsidRPr="00AB39A0">
        <w:t xml:space="preserve">, the </w:t>
      </w:r>
      <w:r w:rsidR="0093057B">
        <w:t>FRC</w:t>
      </w:r>
      <w:r w:rsidR="003E7743" w:rsidRPr="00AB39A0">
        <w:t xml:space="preserve"> and various professional associations, </w:t>
      </w:r>
      <w:r>
        <w:t>CADB</w:t>
      </w:r>
      <w:r w:rsidR="003E7743">
        <w:t xml:space="preserve"> </w:t>
      </w:r>
      <w:r w:rsidR="003E7743" w:rsidRPr="00AB39A0">
        <w:t xml:space="preserve">plays a </w:t>
      </w:r>
      <w:r w:rsidR="005F2C79">
        <w:t>key</w:t>
      </w:r>
      <w:r w:rsidR="003E7743" w:rsidRPr="00AB39A0">
        <w:t xml:space="preserve"> role for the Australian economy </w:t>
      </w:r>
      <w:r w:rsidR="005F2C79">
        <w:t>with respect to</w:t>
      </w:r>
      <w:r w:rsidR="003E7743" w:rsidRPr="00AB39A0">
        <w:t xml:space="preserve"> the regulation of auditors.</w:t>
      </w:r>
    </w:p>
    <w:p w14:paraId="43897624" w14:textId="509DF715" w:rsidR="0049442C" w:rsidRDefault="005F2C79" w:rsidP="0000696C">
      <w:pPr>
        <w:pStyle w:val="CAR-BodyText-Left"/>
        <w:jc w:val="both"/>
      </w:pPr>
      <w:r>
        <w:t>O</w:t>
      </w:r>
      <w:r w:rsidR="0049442C">
        <w:t xml:space="preserve">n 1 March 2017 the </w:t>
      </w:r>
      <w:r w:rsidR="0093057B">
        <w:t>CALDB</w:t>
      </w:r>
      <w:r w:rsidR="0049442C">
        <w:t xml:space="preserve"> </w:t>
      </w:r>
      <w:r>
        <w:t xml:space="preserve">became the </w:t>
      </w:r>
      <w:r w:rsidR="0093057B">
        <w:t>CADB</w:t>
      </w:r>
      <w:r>
        <w:t xml:space="preserve"> </w:t>
      </w:r>
      <w:r w:rsidR="00192B36">
        <w:t>pursuant to</w:t>
      </w:r>
      <w:r w:rsidR="0049442C">
        <w:t xml:space="preserve"> legislative changes which removed the Board's pow</w:t>
      </w:r>
      <w:r>
        <w:t xml:space="preserve">ers </w:t>
      </w:r>
      <w:r w:rsidR="00192B36">
        <w:t>with</w:t>
      </w:r>
      <w:r>
        <w:t xml:space="preserve"> respect </w:t>
      </w:r>
      <w:r w:rsidR="00192B36">
        <w:t>to</w:t>
      </w:r>
      <w:r>
        <w:t xml:space="preserve"> liquidators. This change is discussed further on page 4</w:t>
      </w:r>
      <w:r w:rsidR="00192B36">
        <w:t xml:space="preserve">. </w:t>
      </w:r>
    </w:p>
    <w:p w14:paraId="66C1812E" w14:textId="7F71F2AB" w:rsidR="00096908" w:rsidRDefault="00317C94" w:rsidP="0000696C">
      <w:pPr>
        <w:pStyle w:val="CAR-BodyText-Left"/>
        <w:jc w:val="both"/>
      </w:pPr>
      <w:r w:rsidRPr="00AB39A0">
        <w:t xml:space="preserve">Pursuant to </w:t>
      </w:r>
      <w:r w:rsidR="0067103D">
        <w:t>Section</w:t>
      </w:r>
      <w:r w:rsidRPr="00AB39A0">
        <w:t xml:space="preserve"> 214(1) of the ASIC Act</w:t>
      </w:r>
      <w:r w:rsidR="0034082C" w:rsidRPr="00AB39A0">
        <w:t xml:space="preserve">, </w:t>
      </w:r>
      <w:r w:rsidR="00B34E9D">
        <w:t>the CADB</w:t>
      </w:r>
      <w:r w:rsidR="0034082C" w:rsidRPr="00AB39A0">
        <w:t xml:space="preserve"> is required to prepare a report annually de</w:t>
      </w:r>
      <w:r w:rsidR="00B34E9D">
        <w:t>scribing the operations of the CADB</w:t>
      </w:r>
      <w:r w:rsidR="0034082C" w:rsidRPr="00AB39A0">
        <w:t xml:space="preserve"> and provide a copy of that report to the Minister as soon as practicable before 31 October each year</w:t>
      </w:r>
      <w:r w:rsidR="00C44375" w:rsidRPr="00B34E9D">
        <w:t xml:space="preserve">. </w:t>
      </w:r>
      <w:r w:rsidR="00E573D3" w:rsidRPr="00B34E9D">
        <w:t>CADB</w:t>
      </w:r>
      <w:r w:rsidR="0034082C" w:rsidRPr="00B34E9D">
        <w:t xml:space="preserve"> notes the commencement of the </w:t>
      </w:r>
      <w:r w:rsidR="001E5943" w:rsidRPr="00B34E9D">
        <w:t xml:space="preserve">PGPA </w:t>
      </w:r>
      <w:r w:rsidR="00356057" w:rsidRPr="00B34E9D">
        <w:t>Act</w:t>
      </w:r>
      <w:r w:rsidR="00BF1B1F" w:rsidRPr="00B34E9D">
        <w:t xml:space="preserve"> </w:t>
      </w:r>
      <w:r w:rsidR="00356057" w:rsidRPr="00B34E9D">
        <w:t>on 17 April 2015</w:t>
      </w:r>
      <w:r w:rsidR="00695AAD" w:rsidRPr="00B34E9D">
        <w:t xml:space="preserve">. </w:t>
      </w:r>
      <w:r w:rsidR="00356057" w:rsidRPr="00B34E9D">
        <w:t xml:space="preserve"> </w:t>
      </w:r>
      <w:r w:rsidR="00695AAD" w:rsidRPr="00B34E9D">
        <w:t>L</w:t>
      </w:r>
      <w:r w:rsidR="009130B7" w:rsidRPr="00B34E9D">
        <w:t xml:space="preserve">egal advice </w:t>
      </w:r>
      <w:r w:rsidR="00695AAD" w:rsidRPr="00B34E9D">
        <w:t xml:space="preserve">obtained </w:t>
      </w:r>
      <w:r w:rsidR="009130B7" w:rsidRPr="00B34E9D">
        <w:t>confirm</w:t>
      </w:r>
      <w:r w:rsidR="00695AAD" w:rsidRPr="00B34E9D">
        <w:t>s</w:t>
      </w:r>
      <w:r w:rsidR="009130B7" w:rsidRPr="00B34E9D">
        <w:t xml:space="preserve"> that </w:t>
      </w:r>
      <w:r w:rsidR="00E573D3" w:rsidRPr="00B34E9D">
        <w:t>CADB</w:t>
      </w:r>
      <w:r w:rsidR="009130B7" w:rsidRPr="00B34E9D">
        <w:t xml:space="preserve"> is not required to comply with the PGPA Act in </w:t>
      </w:r>
      <w:r w:rsidR="00695AAD" w:rsidRPr="00B34E9D">
        <w:t>respect of preparation of its</w:t>
      </w:r>
      <w:r w:rsidR="009130B7" w:rsidRPr="00B34E9D">
        <w:t xml:space="preserve"> annual report for the 201</w:t>
      </w:r>
      <w:r w:rsidR="00E573D3" w:rsidRPr="00B34E9D">
        <w:t>6</w:t>
      </w:r>
      <w:r w:rsidR="00780CAF" w:rsidRPr="00B34E9D">
        <w:t>/</w:t>
      </w:r>
      <w:r w:rsidR="009130B7" w:rsidRPr="00B34E9D">
        <w:t>1</w:t>
      </w:r>
      <w:r w:rsidR="00E573D3" w:rsidRPr="00B34E9D">
        <w:t>7</w:t>
      </w:r>
      <w:r w:rsidR="007B4D03" w:rsidRPr="00B34E9D">
        <w:t xml:space="preserve"> year</w:t>
      </w:r>
      <w:r w:rsidR="00C44375" w:rsidRPr="00B34E9D">
        <w:t xml:space="preserve">. </w:t>
      </w:r>
      <w:r w:rsidR="00E573D3" w:rsidRPr="00B34E9D">
        <w:t>CADB</w:t>
      </w:r>
      <w:r w:rsidR="0034082C" w:rsidRPr="00B34E9D">
        <w:t xml:space="preserve"> notes </w:t>
      </w:r>
      <w:r w:rsidR="00771FE6" w:rsidRPr="00B34E9D">
        <w:t xml:space="preserve">the </w:t>
      </w:r>
      <w:r w:rsidR="0034082C" w:rsidRPr="00B34E9D">
        <w:t xml:space="preserve">latest version of </w:t>
      </w:r>
      <w:r w:rsidR="0034082C" w:rsidRPr="00B34E9D">
        <w:rPr>
          <w:i/>
        </w:rPr>
        <w:t>Requirements for Annual Reports</w:t>
      </w:r>
      <w:r w:rsidR="0034082C" w:rsidRPr="00B34E9D">
        <w:t xml:space="preserve"> issued by the Department of the Prime Minister and Cabinet dated </w:t>
      </w:r>
      <w:r w:rsidR="00780CAF" w:rsidRPr="00B34E9D">
        <w:t>30</w:t>
      </w:r>
      <w:r w:rsidR="0034082C" w:rsidRPr="00B34E9D">
        <w:t xml:space="preserve"> June 2015</w:t>
      </w:r>
      <w:r w:rsidR="00193021" w:rsidRPr="00B34E9D">
        <w:t>,</w:t>
      </w:r>
      <w:r w:rsidR="0034082C" w:rsidRPr="00B34E9D">
        <w:t xml:space="preserve"> as approved by the Joint Committee of Public Accounts and Audit under </w:t>
      </w:r>
      <w:r w:rsidR="0067103D">
        <w:t>Sub-Section</w:t>
      </w:r>
      <w:r w:rsidR="0034082C" w:rsidRPr="00B34E9D">
        <w:t>s 63(2) and 70(2) of the Public Service Act</w:t>
      </w:r>
      <w:r w:rsidR="00193021" w:rsidRPr="00B34E9D">
        <w:t>,</w:t>
      </w:r>
      <w:r w:rsidR="0034082C" w:rsidRPr="00B34E9D">
        <w:t xml:space="preserve"> and in accordance with Part 1</w:t>
      </w:r>
      <w:r w:rsidR="00EB4D61" w:rsidRPr="00B34E9D">
        <w:t>,</w:t>
      </w:r>
      <w:r w:rsidR="0034082C" w:rsidRPr="00B34E9D">
        <w:t xml:space="preserve"> 3 (4) </w:t>
      </w:r>
      <w:r w:rsidR="00771FE6" w:rsidRPr="00B34E9D">
        <w:t xml:space="preserve">has </w:t>
      </w:r>
      <w:r w:rsidR="00EB07C4" w:rsidRPr="00B34E9D">
        <w:t>referred to those</w:t>
      </w:r>
      <w:r w:rsidR="0034082C" w:rsidRPr="00B34E9D">
        <w:t xml:space="preserve"> requirements to the extent they are consistent with </w:t>
      </w:r>
      <w:r w:rsidR="00E573D3" w:rsidRPr="00B34E9D">
        <w:t>CADB</w:t>
      </w:r>
      <w:r w:rsidR="00C44375" w:rsidRPr="00B34E9D">
        <w:t>’</w:t>
      </w:r>
      <w:r w:rsidR="0034082C" w:rsidRPr="00B34E9D">
        <w:t>s reporting requirement pursuan</w:t>
      </w:r>
      <w:r w:rsidR="00B34E9D" w:rsidRPr="00B34E9D">
        <w:t xml:space="preserve">t to </w:t>
      </w:r>
      <w:r w:rsidR="0067103D">
        <w:t>Section</w:t>
      </w:r>
      <w:r w:rsidR="00B34E9D" w:rsidRPr="00B34E9D">
        <w:t xml:space="preserve"> 214(1) of the ASIC </w:t>
      </w:r>
      <w:r w:rsidR="0034082C" w:rsidRPr="00B34E9D">
        <w:t>Act</w:t>
      </w:r>
      <w:r w:rsidR="00C44375" w:rsidRPr="00B34E9D">
        <w:t>.</w:t>
      </w:r>
      <w:r w:rsidR="00C44375" w:rsidRPr="00AB39A0">
        <w:t xml:space="preserve"> </w:t>
      </w:r>
    </w:p>
    <w:p w14:paraId="6C59B9F7" w14:textId="0D52F690" w:rsidR="003E7743" w:rsidRPr="00AB39A0" w:rsidRDefault="003E7743" w:rsidP="0000696C">
      <w:pPr>
        <w:pStyle w:val="Heading2"/>
        <w:jc w:val="both"/>
      </w:pPr>
      <w:bookmarkStart w:id="3" w:name="_Toc460850443"/>
      <w:r>
        <w:t>Current r</w:t>
      </w:r>
      <w:r w:rsidRPr="00AB39A0">
        <w:t xml:space="preserve">ole and </w:t>
      </w:r>
      <w:r w:rsidR="00695AAD">
        <w:t>purpose</w:t>
      </w:r>
      <w:bookmarkEnd w:id="3"/>
    </w:p>
    <w:p w14:paraId="297678D8" w14:textId="2332D56B" w:rsidR="00096908" w:rsidRDefault="00E573D3" w:rsidP="0000696C">
      <w:pPr>
        <w:pStyle w:val="CAR-BodyText-Left"/>
        <w:jc w:val="both"/>
      </w:pPr>
      <w:r>
        <w:t>CADB</w:t>
      </w:r>
      <w:r w:rsidR="00C44375" w:rsidRPr="00AB39A0">
        <w:t>’</w:t>
      </w:r>
      <w:r w:rsidR="003C0591" w:rsidRPr="00AB39A0">
        <w:t xml:space="preserve">s </w:t>
      </w:r>
      <w:r w:rsidR="00B34E9D">
        <w:t>mandate under the relevant legislation</w:t>
      </w:r>
      <w:r w:rsidR="003C0591" w:rsidRPr="00AB39A0">
        <w:t xml:space="preserve"> </w:t>
      </w:r>
      <w:r w:rsidR="00096908" w:rsidRPr="00AB39A0">
        <w:t xml:space="preserve">is to act as an </w:t>
      </w:r>
      <w:r w:rsidR="008B59DD">
        <w:t xml:space="preserve">independent </w:t>
      </w:r>
      <w:r w:rsidR="00096908" w:rsidRPr="00AB39A0">
        <w:t xml:space="preserve">expert </w:t>
      </w:r>
      <w:r w:rsidR="00A7150E" w:rsidRPr="00AB39A0">
        <w:t xml:space="preserve">disciplinary </w:t>
      </w:r>
      <w:r w:rsidR="00096908" w:rsidRPr="00AB39A0">
        <w:t>tribunal</w:t>
      </w:r>
      <w:r w:rsidR="00C10AF8">
        <w:t xml:space="preserve"> for auditors registered under the Corporations Act</w:t>
      </w:r>
      <w:r w:rsidR="00695AAD">
        <w:t xml:space="preserve">. </w:t>
      </w:r>
      <w:r w:rsidR="00096908" w:rsidRPr="00AB39A0">
        <w:t xml:space="preserve"> </w:t>
      </w:r>
      <w:r w:rsidR="00C10AF8">
        <w:t xml:space="preserve">CADB </w:t>
      </w:r>
      <w:r w:rsidR="00F6087D">
        <w:t xml:space="preserve">has the power to </w:t>
      </w:r>
      <w:r w:rsidR="00695AAD">
        <w:t>hear and</w:t>
      </w:r>
      <w:r w:rsidR="00695AAD" w:rsidRPr="00AB39A0">
        <w:t xml:space="preserve"> consider</w:t>
      </w:r>
      <w:r w:rsidR="00096908" w:rsidRPr="00AB39A0">
        <w:t xml:space="preserve"> applications </w:t>
      </w:r>
      <w:r w:rsidR="003E7743">
        <w:t xml:space="preserve">brought </w:t>
      </w:r>
      <w:r w:rsidR="00695AAD">
        <w:t xml:space="preserve">before it </w:t>
      </w:r>
      <w:r w:rsidR="003E7743">
        <w:t xml:space="preserve">by ASIC or APRA </w:t>
      </w:r>
      <w:r w:rsidR="00192B36">
        <w:t>and may cancel</w:t>
      </w:r>
      <w:r w:rsidR="00F6087D">
        <w:t xml:space="preserve"> or suspend</w:t>
      </w:r>
      <w:r w:rsidR="00096908" w:rsidRPr="00AB39A0">
        <w:t xml:space="preserve"> </w:t>
      </w:r>
      <w:r w:rsidR="00C10AF8">
        <w:t xml:space="preserve">the </w:t>
      </w:r>
      <w:r w:rsidR="00096908" w:rsidRPr="00AB39A0">
        <w:t xml:space="preserve">registration of auditors </w:t>
      </w:r>
      <w:r w:rsidR="00C10AF8">
        <w:t xml:space="preserve">who do not meet the requirements of </w:t>
      </w:r>
      <w:r w:rsidR="0067103D">
        <w:t>Section</w:t>
      </w:r>
      <w:r w:rsidR="00C10AF8">
        <w:t xml:space="preserve"> 1292 </w:t>
      </w:r>
      <w:r w:rsidR="00096908" w:rsidRPr="00AB39A0">
        <w:t xml:space="preserve">of the </w:t>
      </w:r>
      <w:r w:rsidR="009D7BF7" w:rsidRPr="00AB39A0">
        <w:t>Corporations Act</w:t>
      </w:r>
      <w:r w:rsidR="00494F86" w:rsidRPr="00AB39A0">
        <w:t xml:space="preserve">. </w:t>
      </w:r>
      <w:r>
        <w:t>CADB</w:t>
      </w:r>
      <w:r w:rsidR="00096908" w:rsidRPr="00AB39A0">
        <w:t xml:space="preserve"> has no power to instigate applications. </w:t>
      </w:r>
      <w:r w:rsidR="00695AAD">
        <w:t>While a</w:t>
      </w:r>
      <w:r w:rsidR="00695AAD" w:rsidRPr="00AB39A0">
        <w:t xml:space="preserve">pplications </w:t>
      </w:r>
      <w:r w:rsidR="008C3AA5" w:rsidRPr="00AB39A0">
        <w:t xml:space="preserve">may be </w:t>
      </w:r>
      <w:r w:rsidR="00096908" w:rsidRPr="00AB39A0">
        <w:t xml:space="preserve">brought to </w:t>
      </w:r>
      <w:r>
        <w:t>CADB</w:t>
      </w:r>
      <w:r w:rsidR="00096908" w:rsidRPr="00AB39A0">
        <w:t xml:space="preserve"> by ASIC or APRA</w:t>
      </w:r>
      <w:r w:rsidR="00695AAD">
        <w:t>,</w:t>
      </w:r>
      <w:r w:rsidR="008C3AA5" w:rsidRPr="00AB39A0">
        <w:t xml:space="preserve"> </w:t>
      </w:r>
      <w:r>
        <w:t>CADB</w:t>
      </w:r>
      <w:r w:rsidR="008C3AA5" w:rsidRPr="00AB39A0">
        <w:t xml:space="preserve"> has never received an application from APRA</w:t>
      </w:r>
      <w:r w:rsidR="00096908" w:rsidRPr="00AB39A0">
        <w:t>.</w:t>
      </w:r>
    </w:p>
    <w:p w14:paraId="4DC5CF0F" w14:textId="170CDAB7" w:rsidR="001136FB" w:rsidRPr="00AB39A0" w:rsidRDefault="001136FB" w:rsidP="0000696C">
      <w:pPr>
        <w:pStyle w:val="CAR-BodyText-Left"/>
        <w:jc w:val="both"/>
      </w:pPr>
      <w:r w:rsidRPr="00AB39A0">
        <w:t>As a discipl</w:t>
      </w:r>
      <w:r>
        <w:t>inary b</w:t>
      </w:r>
      <w:r w:rsidRPr="00AB39A0">
        <w:t xml:space="preserve">oard with procedures designed to avoid technicality and delay, </w:t>
      </w:r>
      <w:r w:rsidR="00E573D3">
        <w:t>CADB</w:t>
      </w:r>
      <w:r w:rsidRPr="00AB39A0">
        <w:t xml:space="preserve"> </w:t>
      </w:r>
      <w:r w:rsidR="00780CAF">
        <w:t xml:space="preserve">provides a forum for </w:t>
      </w:r>
      <w:r w:rsidRPr="00AB39A0">
        <w:t>expeditious and cost</w:t>
      </w:r>
      <w:r w:rsidR="00780CAF">
        <w:t>-</w:t>
      </w:r>
      <w:r w:rsidRPr="00AB39A0">
        <w:t xml:space="preserve">effective </w:t>
      </w:r>
      <w:r w:rsidR="003E7743">
        <w:t>disciplinary outcomes</w:t>
      </w:r>
      <w:r w:rsidRPr="00AB39A0">
        <w:t xml:space="preserve"> within an independent and transparent framework.</w:t>
      </w:r>
      <w:r w:rsidR="00780CAF">
        <w:t xml:space="preserve"> </w:t>
      </w:r>
      <w:r w:rsidR="00F6087D">
        <w:t>CADB panels constituted to hear disciplinary matters must comprise at least one accounting member and one business member</w:t>
      </w:r>
      <w:r w:rsidR="00F36A54">
        <w:t>.</w:t>
      </w:r>
      <w:r w:rsidR="00F6087D">
        <w:t xml:space="preserve"> </w:t>
      </w:r>
      <w:r w:rsidR="00F36A54">
        <w:t>This</w:t>
      </w:r>
      <w:r w:rsidR="00F6087D">
        <w:t xml:space="preserve"> provides the </w:t>
      </w:r>
      <w:r w:rsidR="00F36A54">
        <w:t xml:space="preserve">Board with </w:t>
      </w:r>
      <w:r w:rsidR="00F6087D">
        <w:t>capacity</w:t>
      </w:r>
      <w:r w:rsidRPr="00AB39A0">
        <w:t xml:space="preserve"> to assess applications by reference to its own expert knowledge of professional standards</w:t>
      </w:r>
      <w:r w:rsidR="00F36A54">
        <w:t xml:space="preserve"> and</w:t>
      </w:r>
      <w:r w:rsidR="00F6087D">
        <w:t xml:space="preserve"> places </w:t>
      </w:r>
      <w:r w:rsidR="00E573D3">
        <w:t>CADB</w:t>
      </w:r>
      <w:r w:rsidRPr="00AB39A0">
        <w:t xml:space="preserve"> in a unique position to deal wi</w:t>
      </w:r>
      <w:r w:rsidR="00F6087D">
        <w:t>th matters without the need</w:t>
      </w:r>
      <w:r w:rsidRPr="00AB39A0">
        <w:t xml:space="preserve"> for time consuming and costly expert evidence, </w:t>
      </w:r>
      <w:r>
        <w:t xml:space="preserve">often </w:t>
      </w:r>
      <w:r w:rsidRPr="00AB39A0">
        <w:t xml:space="preserve">necessary in other tribunals </w:t>
      </w:r>
      <w:r>
        <w:t xml:space="preserve">and in the </w:t>
      </w:r>
      <w:r w:rsidRPr="00AB39A0">
        <w:t>courts.</w:t>
      </w:r>
    </w:p>
    <w:p w14:paraId="10B60E4C" w14:textId="3B7205AE" w:rsidR="00780CAF" w:rsidRPr="00AB39A0" w:rsidRDefault="001136FB" w:rsidP="0000696C">
      <w:pPr>
        <w:pStyle w:val="CAR-BodyText-Left"/>
        <w:jc w:val="both"/>
      </w:pPr>
      <w:r w:rsidRPr="00AB39A0">
        <w:lastRenderedPageBreak/>
        <w:t xml:space="preserve">The published decisions of </w:t>
      </w:r>
      <w:r w:rsidR="00E573D3">
        <w:t>CADB</w:t>
      </w:r>
      <w:r w:rsidRPr="00AB39A0">
        <w:t xml:space="preserve"> </w:t>
      </w:r>
      <w:r w:rsidR="00B34E9D">
        <w:t>are a source of</w:t>
      </w:r>
      <w:r w:rsidRPr="00AB39A0">
        <w:t xml:space="preserve"> </w:t>
      </w:r>
      <w:r w:rsidR="00780CAF">
        <w:t xml:space="preserve">guidance </w:t>
      </w:r>
      <w:r w:rsidRPr="00AB39A0">
        <w:t xml:space="preserve">to registered practitioners and industry bodies </w:t>
      </w:r>
      <w:r w:rsidR="00836FE3">
        <w:t xml:space="preserve">and </w:t>
      </w:r>
      <w:r w:rsidR="00780CAF" w:rsidRPr="00AB39A0">
        <w:t>form an important aspect of the educative function of the Board.</w:t>
      </w:r>
    </w:p>
    <w:p w14:paraId="32185E2D" w14:textId="08B03094" w:rsidR="001136FB" w:rsidRPr="00AB39A0" w:rsidRDefault="001136FB" w:rsidP="0000696C">
      <w:pPr>
        <w:pStyle w:val="CAR-BodyText-Left"/>
        <w:jc w:val="both"/>
      </w:pPr>
      <w:r w:rsidRPr="00AB39A0">
        <w:t xml:space="preserve">Details of the specific procedures adopted by </w:t>
      </w:r>
      <w:r w:rsidR="00E573D3">
        <w:t>CADB</w:t>
      </w:r>
      <w:r w:rsidRPr="00AB39A0">
        <w:t xml:space="preserve"> in relation to applications it receives and how it conducts hearings before it are set out in </w:t>
      </w:r>
      <w:r w:rsidRPr="00AB39A0">
        <w:rPr>
          <w:b/>
        </w:rPr>
        <w:t>Appendix 1</w:t>
      </w:r>
      <w:r w:rsidRPr="00AB39A0">
        <w:t xml:space="preserve">. These procedures are governed by </w:t>
      </w:r>
      <w:r w:rsidR="00836FE3">
        <w:t xml:space="preserve">the </w:t>
      </w:r>
      <w:r w:rsidRPr="00AB39A0">
        <w:t xml:space="preserve">relevant provisions in Part 11 of the ASIC Act and </w:t>
      </w:r>
      <w:r w:rsidR="00F6087D">
        <w:t xml:space="preserve">Part 9.2 </w:t>
      </w:r>
      <w:r w:rsidRPr="00AB39A0">
        <w:t>Division 3 of the Corporations Act</w:t>
      </w:r>
      <w:r w:rsidR="00F6087D">
        <w:t xml:space="preserve"> which</w:t>
      </w:r>
      <w:r w:rsidR="004D67F9">
        <w:t xml:space="preserve"> is the source of the Board's</w:t>
      </w:r>
      <w:r w:rsidR="00F6087D">
        <w:t xml:space="preserve"> powers </w:t>
      </w:r>
      <w:r w:rsidR="004D67F9">
        <w:t xml:space="preserve">with respect </w:t>
      </w:r>
      <w:r w:rsidR="00F6087D">
        <w:t>to auditors</w:t>
      </w:r>
      <w:r w:rsidRPr="00AB39A0">
        <w:t>.</w:t>
      </w:r>
    </w:p>
    <w:p w14:paraId="54675CEE" w14:textId="63363204" w:rsidR="001136FB" w:rsidRDefault="00A7150E" w:rsidP="00D759C8">
      <w:pPr>
        <w:pStyle w:val="CAR-BodyText-Left"/>
        <w:jc w:val="both"/>
      </w:pPr>
      <w:r w:rsidRPr="00AB39A0">
        <w:t>On an application brought before it in relation to a registered au</w:t>
      </w:r>
      <w:r w:rsidR="007F06E6" w:rsidRPr="00AB39A0">
        <w:t>ditor</w:t>
      </w:r>
      <w:r w:rsidR="00B34E9D">
        <w:t xml:space="preserve"> and after providing the auditor with an opportunity to be heard in relation to the allegations made</w:t>
      </w:r>
      <w:r w:rsidR="00F6087D">
        <w:t xml:space="preserve"> and providing the parties with its reasons for decision</w:t>
      </w:r>
      <w:r w:rsidR="00F36A54">
        <w:t>,</w:t>
      </w:r>
      <w:r w:rsidR="00F6087D">
        <w:t xml:space="preserve"> </w:t>
      </w:r>
      <w:r w:rsidR="00E573D3">
        <w:t>CADB</w:t>
      </w:r>
      <w:r w:rsidR="00096908" w:rsidRPr="00AB39A0">
        <w:t xml:space="preserve"> may</w:t>
      </w:r>
      <w:r w:rsidR="00E52C18">
        <w:t>,</w:t>
      </w:r>
      <w:r w:rsidR="00096908" w:rsidRPr="00AB39A0">
        <w:t xml:space="preserve"> </w:t>
      </w:r>
      <w:r w:rsidR="00F6087D">
        <w:t xml:space="preserve">if it is satisfied </w:t>
      </w:r>
      <w:r w:rsidR="004D67F9">
        <w:t xml:space="preserve">that </w:t>
      </w:r>
      <w:r w:rsidR="00F6087D">
        <w:t xml:space="preserve">any of the matters set out </w:t>
      </w:r>
      <w:r w:rsidR="00F36A54">
        <w:t xml:space="preserve">in </w:t>
      </w:r>
      <w:r w:rsidR="0067103D">
        <w:t>Section</w:t>
      </w:r>
      <w:r w:rsidR="00F36A54">
        <w:t xml:space="preserve"> 1292</w:t>
      </w:r>
      <w:r w:rsidR="00197BC1">
        <w:t xml:space="preserve"> </w:t>
      </w:r>
      <w:r w:rsidR="00D759C8">
        <w:t>have been</w:t>
      </w:r>
      <w:r w:rsidR="00096908" w:rsidRPr="00AB39A0">
        <w:t xml:space="preserve"> established</w:t>
      </w:r>
      <w:r w:rsidRPr="00AB39A0">
        <w:t xml:space="preserve">, impose sanctions </w:t>
      </w:r>
      <w:r w:rsidR="00836FE3">
        <w:t xml:space="preserve">on the registered auditor </w:t>
      </w:r>
      <w:r w:rsidRPr="00AB39A0">
        <w:t xml:space="preserve">including </w:t>
      </w:r>
      <w:r w:rsidR="00B34E9D">
        <w:t>an order</w:t>
      </w:r>
      <w:r w:rsidRPr="00AB39A0">
        <w:t xml:space="preserve"> </w:t>
      </w:r>
      <w:r w:rsidR="00B34E9D">
        <w:t>either</w:t>
      </w:r>
      <w:r w:rsidRPr="00AB39A0">
        <w:t xml:space="preserve"> cancell</w:t>
      </w:r>
      <w:r w:rsidR="00B34E9D">
        <w:t>ing</w:t>
      </w:r>
      <w:r w:rsidRPr="00AB39A0">
        <w:t xml:space="preserve"> or suspen</w:t>
      </w:r>
      <w:r w:rsidR="00B34E9D">
        <w:t>ding</w:t>
      </w:r>
      <w:r w:rsidRPr="00AB39A0">
        <w:t xml:space="preserve"> the registration of </w:t>
      </w:r>
      <w:r w:rsidR="00980CB3">
        <w:t xml:space="preserve">the </w:t>
      </w:r>
      <w:r w:rsidRPr="00AB39A0">
        <w:t>auditor</w:t>
      </w:r>
      <w:r w:rsidR="00096908" w:rsidRPr="00AB39A0">
        <w:t xml:space="preserve">. </w:t>
      </w:r>
    </w:p>
    <w:p w14:paraId="65AD80BE" w14:textId="14334638" w:rsidR="001136FB" w:rsidRPr="00040590" w:rsidRDefault="001136FB" w:rsidP="00FE2E8B">
      <w:pPr>
        <w:pStyle w:val="Heading2"/>
      </w:pPr>
      <w:r w:rsidRPr="00040590">
        <w:t xml:space="preserve">Effect of </w:t>
      </w:r>
      <w:r w:rsidR="009424AF">
        <w:t>Insolvency Law Reform</w:t>
      </w:r>
      <w:r w:rsidRPr="00040590">
        <w:t xml:space="preserve"> Act on </w:t>
      </w:r>
      <w:r w:rsidR="00E573D3">
        <w:t>CADB</w:t>
      </w:r>
      <w:r w:rsidRPr="00040590">
        <w:t>’s functions</w:t>
      </w:r>
    </w:p>
    <w:p w14:paraId="3ED91CB5" w14:textId="0B738D39" w:rsidR="00A8573B" w:rsidRDefault="008857C3" w:rsidP="0000696C">
      <w:pPr>
        <w:pStyle w:val="CAR-BodyText-Left"/>
        <w:jc w:val="both"/>
      </w:pPr>
      <w:r>
        <w:t>As noted, t</w:t>
      </w:r>
      <w:r w:rsidR="00A8573B">
        <w:t>he</w:t>
      </w:r>
      <w:r w:rsidR="00103438">
        <w:t xml:space="preserve"> partial</w:t>
      </w:r>
      <w:r w:rsidR="00A8573B">
        <w:t xml:space="preserve"> commencement of the </w:t>
      </w:r>
      <w:r w:rsidR="009424AF">
        <w:t>Insolvency Law Reform Act and consequent amendments</w:t>
      </w:r>
      <w:r>
        <w:t xml:space="preserve"> </w:t>
      </w:r>
      <w:r w:rsidR="009424AF">
        <w:t>to</w:t>
      </w:r>
      <w:r>
        <w:t xml:space="preserve"> the Corporations </w:t>
      </w:r>
      <w:r w:rsidR="00A8573B">
        <w:t xml:space="preserve">Act </w:t>
      </w:r>
      <w:r w:rsidR="0021063B">
        <w:t xml:space="preserve">("new provisions") </w:t>
      </w:r>
      <w:r w:rsidR="0049442C">
        <w:t>on</w:t>
      </w:r>
      <w:r w:rsidR="0040664B">
        <w:t xml:space="preserve"> </w:t>
      </w:r>
      <w:r w:rsidR="00A8573B">
        <w:t xml:space="preserve">1 March 2017 </w:t>
      </w:r>
      <w:r w:rsidR="000D4332">
        <w:t>(</w:t>
      </w:r>
      <w:r w:rsidR="006D35F3">
        <w:t>“</w:t>
      </w:r>
      <w:r w:rsidR="000D4332">
        <w:t xml:space="preserve">commencement date”) </w:t>
      </w:r>
      <w:r w:rsidR="00A8573B">
        <w:t>remove</w:t>
      </w:r>
      <w:r w:rsidR="0049442C">
        <w:t>d</w:t>
      </w:r>
      <w:r w:rsidR="00A8573B">
        <w:t xml:space="preserve"> </w:t>
      </w:r>
      <w:r w:rsidR="00E573D3">
        <w:t>CADB</w:t>
      </w:r>
      <w:r w:rsidR="00A8573B">
        <w:t xml:space="preserve">’s </w:t>
      </w:r>
      <w:r>
        <w:t>powers with respect to liquidators registered under the Corporations Act except insofar as there were liquidator matters lodged with the Board as at the commencement date which fell within the transitional provi</w:t>
      </w:r>
      <w:r w:rsidR="0021063B">
        <w:t xml:space="preserve">sions of the new provisions. </w:t>
      </w:r>
      <w:r>
        <w:t xml:space="preserve">There were no applications before the Board which fell within the transitional provisions although it is noted that there is </w:t>
      </w:r>
      <w:r w:rsidR="00F36A54">
        <w:t>one</w:t>
      </w:r>
      <w:r>
        <w:t xml:space="preserve"> liquidator matter currently on appeal to the </w:t>
      </w:r>
      <w:r w:rsidR="0021063B">
        <w:t>AAT</w:t>
      </w:r>
      <w:r>
        <w:t xml:space="preserve"> which, depending on the AAT's decision</w:t>
      </w:r>
      <w:r w:rsidR="0021063B">
        <w:t>,</w:t>
      </w:r>
      <w:r>
        <w:t xml:space="preserve"> </w:t>
      </w:r>
      <w:r w:rsidR="00F36A54">
        <w:t>may</w:t>
      </w:r>
      <w:r>
        <w:t xml:space="preserve"> be remitted to CADB and would fall within the scope of the </w:t>
      </w:r>
      <w:r w:rsidR="009424AF">
        <w:t xml:space="preserve">relevant </w:t>
      </w:r>
      <w:r>
        <w:t xml:space="preserve">transitional provisions. </w:t>
      </w:r>
    </w:p>
    <w:p w14:paraId="44386C8F" w14:textId="75E7C251" w:rsidR="001136FB" w:rsidRPr="00AB39A0" w:rsidRDefault="00E573D3" w:rsidP="0000696C">
      <w:pPr>
        <w:pStyle w:val="CAR-BodyText-Left"/>
        <w:jc w:val="both"/>
      </w:pPr>
      <w:r>
        <w:t>CADB</w:t>
      </w:r>
      <w:r w:rsidR="001136FB">
        <w:t xml:space="preserve">’s statutory powers with respect to auditors registered under the Corporations Act </w:t>
      </w:r>
      <w:r w:rsidR="00950D35">
        <w:t xml:space="preserve">did not change when the </w:t>
      </w:r>
      <w:r w:rsidR="0021063B">
        <w:t>new provisions</w:t>
      </w:r>
      <w:r w:rsidR="00950D35">
        <w:t xml:space="preserve"> came into operation</w:t>
      </w:r>
      <w:r w:rsidR="001136FB">
        <w:t>.</w:t>
      </w:r>
    </w:p>
    <w:p w14:paraId="159A0BF6" w14:textId="6D48BBC1" w:rsidR="00306FBA" w:rsidRPr="00AB39A0" w:rsidRDefault="006516ED" w:rsidP="0000696C">
      <w:pPr>
        <w:pStyle w:val="Heading2"/>
        <w:jc w:val="both"/>
      </w:pPr>
      <w:bookmarkStart w:id="4" w:name="_Toc460850444"/>
      <w:r w:rsidRPr="00AB39A0">
        <w:t xml:space="preserve">Constitution of </w:t>
      </w:r>
      <w:r w:rsidR="00E573D3">
        <w:t>CADB</w:t>
      </w:r>
      <w:r w:rsidRPr="00AB39A0">
        <w:t xml:space="preserve"> and current Board membership</w:t>
      </w:r>
      <w:bookmarkEnd w:id="4"/>
    </w:p>
    <w:p w14:paraId="51C9868D" w14:textId="36353361" w:rsidR="00306FBA" w:rsidRPr="00AB39A0" w:rsidRDefault="00E552BD" w:rsidP="0000696C">
      <w:pPr>
        <w:pStyle w:val="CAR-BodyText-Left"/>
        <w:spacing w:after="120"/>
        <w:jc w:val="both"/>
      </w:pPr>
      <w:r w:rsidRPr="00AB39A0">
        <w:t>Section 203 of t</w:t>
      </w:r>
      <w:r w:rsidR="00BF2E91" w:rsidRPr="00AB39A0">
        <w:t>he</w:t>
      </w:r>
      <w:r w:rsidR="00306FBA" w:rsidRPr="00AB39A0">
        <w:t xml:space="preserve"> </w:t>
      </w:r>
      <w:r w:rsidR="009D7BF7" w:rsidRPr="00AB39A0">
        <w:t>ASIC Act</w:t>
      </w:r>
      <w:r w:rsidR="002E0861" w:rsidRPr="00AB39A0">
        <w:t xml:space="preserve"> provides that the </w:t>
      </w:r>
      <w:r w:rsidR="00E573D3">
        <w:t>CADB</w:t>
      </w:r>
      <w:r w:rsidR="00527FE1" w:rsidRPr="00AB39A0">
        <w:t xml:space="preserve"> </w:t>
      </w:r>
      <w:r w:rsidR="00306FBA" w:rsidRPr="00AB39A0">
        <w:t>consist</w:t>
      </w:r>
      <w:r w:rsidR="00BF2E91" w:rsidRPr="00AB39A0">
        <w:t>s</w:t>
      </w:r>
      <w:r w:rsidR="00306FBA" w:rsidRPr="00AB39A0">
        <w:t xml:space="preserve"> of the following:</w:t>
      </w:r>
    </w:p>
    <w:p w14:paraId="3B3BB32D" w14:textId="77777777" w:rsidR="00306FBA" w:rsidRPr="00AB39A0" w:rsidRDefault="007B2692" w:rsidP="0000696C">
      <w:pPr>
        <w:pStyle w:val="CAR-Flush-Alpha-Lower"/>
        <w:spacing w:after="120"/>
        <w:jc w:val="both"/>
      </w:pPr>
      <w:r w:rsidRPr="00AB39A0">
        <w:t>a</w:t>
      </w:r>
      <w:r w:rsidR="002E0861" w:rsidRPr="00AB39A0">
        <w:t xml:space="preserve"> </w:t>
      </w:r>
      <w:r w:rsidR="00306FBA" w:rsidRPr="00AB39A0">
        <w:t>Chairperson;</w:t>
      </w:r>
    </w:p>
    <w:p w14:paraId="7C55AB06" w14:textId="77777777" w:rsidR="00306FBA" w:rsidRPr="00AB39A0" w:rsidRDefault="007B2692" w:rsidP="0000696C">
      <w:pPr>
        <w:pStyle w:val="CAR-Flush-Alpha-Lower"/>
        <w:spacing w:after="120"/>
        <w:jc w:val="both"/>
      </w:pPr>
      <w:r w:rsidRPr="00AB39A0">
        <w:t>a</w:t>
      </w:r>
      <w:r w:rsidR="002E0861" w:rsidRPr="00AB39A0">
        <w:t xml:space="preserve"> </w:t>
      </w:r>
      <w:r w:rsidR="00306FBA" w:rsidRPr="00AB39A0">
        <w:t>Deputy Chairperson;</w:t>
      </w:r>
    </w:p>
    <w:p w14:paraId="7D8EF1AC" w14:textId="77777777" w:rsidR="00306FBA" w:rsidRPr="00AB39A0" w:rsidRDefault="00306FBA" w:rsidP="0000696C">
      <w:pPr>
        <w:pStyle w:val="CAR-Flush-Alpha-Lower"/>
        <w:spacing w:after="120"/>
        <w:jc w:val="both"/>
      </w:pPr>
      <w:r w:rsidRPr="00AB39A0">
        <w:t>six accounting members selected by the Minister; and</w:t>
      </w:r>
    </w:p>
    <w:p w14:paraId="6FDA5449" w14:textId="77777777" w:rsidR="00306FBA" w:rsidRPr="00AB39A0" w:rsidRDefault="00306FBA" w:rsidP="0000696C">
      <w:pPr>
        <w:pStyle w:val="CAR-Flush-Alpha-Lower"/>
        <w:spacing w:after="240"/>
        <w:jc w:val="both"/>
      </w:pPr>
      <w:r w:rsidRPr="00AB39A0">
        <w:t>six business members selected by the Minister.</w:t>
      </w:r>
    </w:p>
    <w:p w14:paraId="25E057A7" w14:textId="119F24A2" w:rsidR="00F2231C" w:rsidRPr="00AB39A0" w:rsidRDefault="00306FBA" w:rsidP="0000696C">
      <w:pPr>
        <w:pStyle w:val="CAR-BodyText-Left"/>
        <w:keepLines/>
        <w:jc w:val="both"/>
      </w:pPr>
      <w:r w:rsidRPr="00AB39A0">
        <w:lastRenderedPageBreak/>
        <w:t>The Chairperson and the Deputy Chairperson must each be enrolled as a barrister, as a solicitor, or as a barrister and solicitor or as a legal practitioner of the High Court, any Federal C</w:t>
      </w:r>
      <w:r w:rsidR="003A1C05">
        <w:t>ourt or the Supreme Court of a state or t</w:t>
      </w:r>
      <w:r w:rsidRPr="00AB39A0">
        <w:t xml:space="preserve">erritory and must have been so enrolled for a period of at least five years. </w:t>
      </w:r>
    </w:p>
    <w:p w14:paraId="2A8F6122" w14:textId="77777777" w:rsidR="00F2231C" w:rsidRPr="00AB39A0" w:rsidRDefault="00306FBA" w:rsidP="0000696C">
      <w:pPr>
        <w:pStyle w:val="CAR-BodyText-Left"/>
        <w:jc w:val="both"/>
      </w:pPr>
      <w:r w:rsidRPr="00AB39A0">
        <w:t xml:space="preserve">Accounting members are required to be a resident of Australia and a member of a professional accounting body or any other body prescribed by regulation. </w:t>
      </w:r>
    </w:p>
    <w:p w14:paraId="598E296B" w14:textId="77777777" w:rsidR="00306FBA" w:rsidRPr="00AB39A0" w:rsidRDefault="00306FBA" w:rsidP="0000696C">
      <w:pPr>
        <w:pStyle w:val="CAR-BodyText-Left"/>
        <w:jc w:val="both"/>
      </w:pPr>
      <w:r w:rsidRPr="00AB39A0">
        <w:t>Business members represent the business community and have qualifications, knowledge or experience in business or commerce, the administration of companies, financial markets, financial products and services, economics or law.</w:t>
      </w:r>
    </w:p>
    <w:p w14:paraId="3DD7E66E" w14:textId="4ADFFF50" w:rsidR="00306FBA" w:rsidRPr="00AB39A0" w:rsidRDefault="008857C3" w:rsidP="0000696C">
      <w:pPr>
        <w:pStyle w:val="CAR-BodyText-Left"/>
        <w:jc w:val="both"/>
      </w:pPr>
      <w:r>
        <w:t xml:space="preserve">All appointments </w:t>
      </w:r>
      <w:r w:rsidR="00E15C7D">
        <w:t>a</w:t>
      </w:r>
      <w:r w:rsidR="00306FBA" w:rsidRPr="00AB39A0">
        <w:t xml:space="preserve">re made by the Minister and are </w:t>
      </w:r>
      <w:r w:rsidR="00715366" w:rsidRPr="00AB39A0">
        <w:t>part</w:t>
      </w:r>
      <w:r w:rsidR="00C44375" w:rsidRPr="00AB39A0">
        <w:noBreakHyphen/>
      </w:r>
      <w:r w:rsidR="00715366" w:rsidRPr="00AB39A0">
        <w:t>time</w:t>
      </w:r>
      <w:r w:rsidR="00306FBA" w:rsidRPr="00AB39A0">
        <w:t xml:space="preserve"> appointments. Appointments are for a period of no </w:t>
      </w:r>
      <w:r w:rsidR="00950D35">
        <w:t>more</w:t>
      </w:r>
      <w:r w:rsidR="00306FBA" w:rsidRPr="00AB39A0">
        <w:t xml:space="preserve"> than three years. The appointees are eligible for reappointment.</w:t>
      </w:r>
    </w:p>
    <w:p w14:paraId="5E414FF1" w14:textId="77777777" w:rsidR="00615C01" w:rsidRPr="00AB39A0" w:rsidRDefault="00615C01" w:rsidP="0000696C">
      <w:pPr>
        <w:pStyle w:val="CAR-BodyText-Left"/>
        <w:jc w:val="both"/>
      </w:pPr>
      <w:r w:rsidRPr="00AB39A0">
        <w:t>Board members during the reporting year:</w:t>
      </w:r>
    </w:p>
    <w:tbl>
      <w:tblPr>
        <w:tblW w:w="4828" w:type="pct"/>
        <w:tblInd w:w="108" w:type="dxa"/>
        <w:tblBorders>
          <w:top w:val="single" w:sz="2" w:space="0" w:color="000080"/>
          <w:bottom w:val="single" w:sz="2" w:space="0" w:color="000080"/>
        </w:tblBorders>
        <w:tblLook w:val="01E0" w:firstRow="1" w:lastRow="1" w:firstColumn="1" w:lastColumn="1" w:noHBand="0" w:noVBand="0"/>
      </w:tblPr>
      <w:tblGrid>
        <w:gridCol w:w="2547"/>
        <w:gridCol w:w="2982"/>
        <w:gridCol w:w="2125"/>
      </w:tblGrid>
      <w:tr w:rsidR="00615C01" w:rsidRPr="00AB39A0" w14:paraId="70F32858" w14:textId="77777777" w:rsidTr="007C718E">
        <w:trPr>
          <w:trHeight w:val="283"/>
          <w:tblHeader/>
        </w:trPr>
        <w:tc>
          <w:tcPr>
            <w:tcW w:w="1664" w:type="pct"/>
            <w:tcBorders>
              <w:top w:val="single" w:sz="2" w:space="0" w:color="000080"/>
              <w:bottom w:val="single" w:sz="2" w:space="0" w:color="000080"/>
            </w:tcBorders>
            <w:shd w:val="clear" w:color="auto" w:fill="F2F2F2" w:themeFill="background1" w:themeFillShade="F2"/>
            <w:vAlign w:val="center"/>
          </w:tcPr>
          <w:p w14:paraId="0AA4C54B" w14:textId="77777777" w:rsidR="00615C01" w:rsidRPr="00AB39A0" w:rsidRDefault="00615C01" w:rsidP="004677CD">
            <w:pPr>
              <w:pStyle w:val="CAR-TableColHead-Left"/>
            </w:pPr>
            <w:r w:rsidRPr="00AB39A0">
              <w:t>Name</w:t>
            </w:r>
          </w:p>
        </w:tc>
        <w:tc>
          <w:tcPr>
            <w:tcW w:w="1948" w:type="pct"/>
            <w:tcBorders>
              <w:top w:val="single" w:sz="2" w:space="0" w:color="000080"/>
              <w:bottom w:val="single" w:sz="2" w:space="0" w:color="000080"/>
            </w:tcBorders>
            <w:shd w:val="clear" w:color="auto" w:fill="F2F2F2" w:themeFill="background1" w:themeFillShade="F2"/>
            <w:vAlign w:val="center"/>
          </w:tcPr>
          <w:p w14:paraId="6E318192" w14:textId="77777777" w:rsidR="00615C01" w:rsidRPr="00AB39A0" w:rsidRDefault="00615C01" w:rsidP="004677CD">
            <w:pPr>
              <w:pStyle w:val="CAR-TableColHead-Left"/>
            </w:pPr>
            <w:r w:rsidRPr="00AB39A0">
              <w:t>Role</w:t>
            </w:r>
          </w:p>
        </w:tc>
        <w:tc>
          <w:tcPr>
            <w:tcW w:w="1388" w:type="pct"/>
            <w:tcBorders>
              <w:top w:val="single" w:sz="2" w:space="0" w:color="000080"/>
              <w:bottom w:val="single" w:sz="2" w:space="0" w:color="000080"/>
            </w:tcBorders>
            <w:shd w:val="clear" w:color="auto" w:fill="F2F2F2" w:themeFill="background1" w:themeFillShade="F2"/>
            <w:vAlign w:val="center"/>
          </w:tcPr>
          <w:p w14:paraId="7C44A822" w14:textId="77777777" w:rsidR="00615C01" w:rsidRPr="00AB39A0" w:rsidRDefault="00615C01" w:rsidP="004677CD">
            <w:pPr>
              <w:pStyle w:val="CAR-TableColHead-Right"/>
            </w:pPr>
            <w:r w:rsidRPr="00AB39A0">
              <w:t>Term expires/expired</w:t>
            </w:r>
          </w:p>
        </w:tc>
      </w:tr>
      <w:tr w:rsidR="00615C01" w:rsidRPr="00AB39A0" w14:paraId="74953D18" w14:textId="77777777" w:rsidTr="00000B2E">
        <w:tc>
          <w:tcPr>
            <w:tcW w:w="1664" w:type="pct"/>
            <w:tcBorders>
              <w:top w:val="single" w:sz="2" w:space="0" w:color="000080"/>
              <w:bottom w:val="nil"/>
              <w:right w:val="nil"/>
            </w:tcBorders>
          </w:tcPr>
          <w:p w14:paraId="3B5FABE2" w14:textId="21545C31" w:rsidR="00615C01" w:rsidRPr="00AB39A0" w:rsidRDefault="00F464F5" w:rsidP="004677CD">
            <w:pPr>
              <w:pStyle w:val="CAR-TableText-Left"/>
            </w:pPr>
            <w:r>
              <w:t>Maria McCrossin</w:t>
            </w:r>
          </w:p>
        </w:tc>
        <w:tc>
          <w:tcPr>
            <w:tcW w:w="1948" w:type="pct"/>
            <w:tcBorders>
              <w:top w:val="single" w:sz="2" w:space="0" w:color="000080"/>
              <w:left w:val="nil"/>
              <w:bottom w:val="nil"/>
              <w:right w:val="nil"/>
            </w:tcBorders>
          </w:tcPr>
          <w:p w14:paraId="6051D6F0" w14:textId="77777777" w:rsidR="00615C01" w:rsidRPr="00AB39A0" w:rsidRDefault="00615C01" w:rsidP="004677CD">
            <w:pPr>
              <w:pStyle w:val="CAR-TableText-Left"/>
            </w:pPr>
            <w:r w:rsidRPr="00AB39A0">
              <w:t xml:space="preserve">Chairperson </w:t>
            </w:r>
          </w:p>
        </w:tc>
        <w:tc>
          <w:tcPr>
            <w:tcW w:w="1388" w:type="pct"/>
            <w:tcBorders>
              <w:top w:val="single" w:sz="2" w:space="0" w:color="000080"/>
              <w:left w:val="nil"/>
              <w:bottom w:val="nil"/>
            </w:tcBorders>
          </w:tcPr>
          <w:p w14:paraId="3EAFAD39" w14:textId="068E3B6A" w:rsidR="002524C7" w:rsidRPr="00AB39A0" w:rsidRDefault="00610503" w:rsidP="004677CD">
            <w:pPr>
              <w:pStyle w:val="CAR-TableText-Right"/>
              <w:rPr>
                <w:color w:val="000000"/>
              </w:rPr>
            </w:pPr>
            <w:r>
              <w:rPr>
                <w:color w:val="000000"/>
              </w:rPr>
              <w:t>3 December 2018</w:t>
            </w:r>
          </w:p>
        </w:tc>
      </w:tr>
      <w:tr w:rsidR="00C63DA2" w:rsidRPr="00AB39A0" w14:paraId="49A9D5C8" w14:textId="77777777" w:rsidTr="00000B2E">
        <w:tc>
          <w:tcPr>
            <w:tcW w:w="1664" w:type="pct"/>
            <w:tcBorders>
              <w:top w:val="nil"/>
              <w:bottom w:val="nil"/>
              <w:right w:val="nil"/>
            </w:tcBorders>
          </w:tcPr>
          <w:p w14:paraId="1C55B64F" w14:textId="23DAC2EA" w:rsidR="00C63DA2" w:rsidRPr="00AB39A0" w:rsidRDefault="00C63DA2" w:rsidP="004677CD">
            <w:pPr>
              <w:pStyle w:val="CAR-TableText-Left"/>
            </w:pPr>
            <w:r>
              <w:t>Clare Lethlean</w:t>
            </w:r>
          </w:p>
        </w:tc>
        <w:tc>
          <w:tcPr>
            <w:tcW w:w="1948" w:type="pct"/>
            <w:tcBorders>
              <w:top w:val="nil"/>
              <w:left w:val="nil"/>
              <w:bottom w:val="nil"/>
              <w:right w:val="nil"/>
            </w:tcBorders>
          </w:tcPr>
          <w:p w14:paraId="1F3FC074" w14:textId="21B96F42" w:rsidR="00C63DA2" w:rsidRPr="00AB39A0" w:rsidRDefault="00C63DA2" w:rsidP="004677CD">
            <w:pPr>
              <w:pStyle w:val="CAR-TableText-Left"/>
            </w:pPr>
            <w:r w:rsidRPr="00AB39A0">
              <w:t>Deputy Chairperson</w:t>
            </w:r>
          </w:p>
        </w:tc>
        <w:tc>
          <w:tcPr>
            <w:tcW w:w="1388" w:type="pct"/>
            <w:tcBorders>
              <w:top w:val="nil"/>
              <w:left w:val="nil"/>
              <w:bottom w:val="nil"/>
            </w:tcBorders>
          </w:tcPr>
          <w:p w14:paraId="6BC6EE1E" w14:textId="500480E3" w:rsidR="00C63DA2" w:rsidRPr="00AB39A0" w:rsidRDefault="00C63DA2" w:rsidP="00C63DA2">
            <w:pPr>
              <w:pStyle w:val="CAR-TableText-Right"/>
              <w:rPr>
                <w:color w:val="000000"/>
              </w:rPr>
            </w:pPr>
            <w:r>
              <w:t>4 May 2019</w:t>
            </w:r>
          </w:p>
        </w:tc>
      </w:tr>
      <w:tr w:rsidR="00C63DA2" w:rsidRPr="00AB39A0" w14:paraId="0EC72694" w14:textId="77777777" w:rsidTr="00000B2E">
        <w:tc>
          <w:tcPr>
            <w:tcW w:w="1664" w:type="pct"/>
            <w:tcBorders>
              <w:top w:val="nil"/>
            </w:tcBorders>
          </w:tcPr>
          <w:p w14:paraId="61096E6C" w14:textId="77777777" w:rsidR="00C63DA2" w:rsidRPr="00AB39A0" w:rsidRDefault="00C63DA2" w:rsidP="004677CD">
            <w:pPr>
              <w:pStyle w:val="CAR-TableText-Left"/>
            </w:pPr>
            <w:r w:rsidRPr="00AB39A0">
              <w:t>Robert Ferguson</w:t>
            </w:r>
          </w:p>
        </w:tc>
        <w:tc>
          <w:tcPr>
            <w:tcW w:w="1948" w:type="pct"/>
            <w:tcBorders>
              <w:top w:val="nil"/>
            </w:tcBorders>
          </w:tcPr>
          <w:p w14:paraId="41DE0405" w14:textId="77777777" w:rsidR="00C63DA2" w:rsidRPr="00AB39A0" w:rsidRDefault="00C63DA2" w:rsidP="004677CD">
            <w:pPr>
              <w:pStyle w:val="CAR-TableText-Left"/>
            </w:pPr>
            <w:r w:rsidRPr="00AB39A0">
              <w:t xml:space="preserve">Accounting member </w:t>
            </w:r>
          </w:p>
        </w:tc>
        <w:tc>
          <w:tcPr>
            <w:tcW w:w="1388" w:type="pct"/>
            <w:tcBorders>
              <w:top w:val="nil"/>
            </w:tcBorders>
          </w:tcPr>
          <w:p w14:paraId="7D4D0509" w14:textId="174979B1" w:rsidR="00C63DA2" w:rsidRPr="00AB39A0" w:rsidRDefault="00C63DA2" w:rsidP="00610503">
            <w:pPr>
              <w:pStyle w:val="CAR-TableText-Right"/>
            </w:pPr>
            <w:r w:rsidRPr="00AB39A0">
              <w:t>28 Ju</w:t>
            </w:r>
            <w:r>
              <w:t>l</w:t>
            </w:r>
            <w:r w:rsidRPr="00AB39A0">
              <w:t>y 201</w:t>
            </w:r>
            <w:r>
              <w:t>7</w:t>
            </w:r>
          </w:p>
        </w:tc>
      </w:tr>
      <w:tr w:rsidR="00C63DA2" w:rsidRPr="00AB39A0" w14:paraId="086491F6" w14:textId="77777777" w:rsidTr="00000B2E">
        <w:tc>
          <w:tcPr>
            <w:tcW w:w="1664" w:type="pct"/>
          </w:tcPr>
          <w:p w14:paraId="38086342" w14:textId="77777777" w:rsidR="00C63DA2" w:rsidRPr="00AB39A0" w:rsidRDefault="00C63DA2" w:rsidP="004677CD">
            <w:pPr>
              <w:pStyle w:val="CAR-TableText-Left"/>
            </w:pPr>
            <w:r w:rsidRPr="00AB39A0">
              <w:t>Bruce Gleeson</w:t>
            </w:r>
          </w:p>
        </w:tc>
        <w:tc>
          <w:tcPr>
            <w:tcW w:w="1948" w:type="pct"/>
          </w:tcPr>
          <w:p w14:paraId="34D4B8F0" w14:textId="77777777" w:rsidR="00C63DA2" w:rsidRPr="00AB39A0" w:rsidRDefault="00C63DA2" w:rsidP="004677CD">
            <w:pPr>
              <w:pStyle w:val="CAR-TableText-Left"/>
            </w:pPr>
            <w:r w:rsidRPr="00AB39A0">
              <w:t>Accounting member</w:t>
            </w:r>
          </w:p>
        </w:tc>
        <w:tc>
          <w:tcPr>
            <w:tcW w:w="1388" w:type="pct"/>
          </w:tcPr>
          <w:p w14:paraId="5FC7A07C" w14:textId="07D423AD" w:rsidR="00C63DA2" w:rsidRPr="00AB39A0" w:rsidRDefault="00C63DA2" w:rsidP="00610503">
            <w:pPr>
              <w:pStyle w:val="CAR-TableText-Right"/>
            </w:pPr>
            <w:r w:rsidRPr="00AB39A0">
              <w:t>28 Ju</w:t>
            </w:r>
            <w:r>
              <w:t>l</w:t>
            </w:r>
            <w:r w:rsidRPr="00AB39A0">
              <w:t>y 201</w:t>
            </w:r>
            <w:r>
              <w:t>7</w:t>
            </w:r>
          </w:p>
        </w:tc>
      </w:tr>
      <w:tr w:rsidR="00C63DA2" w:rsidRPr="00AB39A0" w14:paraId="32F00710" w14:textId="77777777" w:rsidTr="00000B2E">
        <w:tc>
          <w:tcPr>
            <w:tcW w:w="1664" w:type="pct"/>
          </w:tcPr>
          <w:p w14:paraId="315DDF3C" w14:textId="37CD8A4C" w:rsidR="00C63DA2" w:rsidRPr="00AB39A0" w:rsidRDefault="00C63DA2" w:rsidP="004677CD">
            <w:pPr>
              <w:pStyle w:val="CAR-TableText-Left"/>
            </w:pPr>
            <w:r>
              <w:t>Kerrie Howard</w:t>
            </w:r>
          </w:p>
        </w:tc>
        <w:tc>
          <w:tcPr>
            <w:tcW w:w="1948" w:type="pct"/>
          </w:tcPr>
          <w:p w14:paraId="7949CEF2" w14:textId="4B64238C" w:rsidR="00C63DA2" w:rsidRPr="00AB39A0" w:rsidRDefault="00C63DA2" w:rsidP="004677CD">
            <w:pPr>
              <w:pStyle w:val="CAR-TableText-Left"/>
            </w:pPr>
            <w:r>
              <w:t>Business member</w:t>
            </w:r>
          </w:p>
        </w:tc>
        <w:tc>
          <w:tcPr>
            <w:tcW w:w="1388" w:type="pct"/>
          </w:tcPr>
          <w:p w14:paraId="1F950510" w14:textId="5BB487E0" w:rsidR="00C63DA2" w:rsidRPr="00AB39A0" w:rsidRDefault="00C63DA2" w:rsidP="00610503">
            <w:pPr>
              <w:pStyle w:val="CAR-TableText-Right"/>
            </w:pPr>
            <w:r>
              <w:t>3 December 2018</w:t>
            </w:r>
          </w:p>
        </w:tc>
      </w:tr>
      <w:tr w:rsidR="008857C3" w:rsidRPr="00AB39A0" w14:paraId="7B601A2A" w14:textId="77777777" w:rsidTr="00000B2E">
        <w:tc>
          <w:tcPr>
            <w:tcW w:w="1664" w:type="pct"/>
          </w:tcPr>
          <w:p w14:paraId="65F5AC07" w14:textId="0259F2B0" w:rsidR="008857C3" w:rsidRDefault="008857C3" w:rsidP="004677CD">
            <w:pPr>
              <w:pStyle w:val="CAR-TableText-Left"/>
            </w:pPr>
            <w:r>
              <w:t>Inge Kindermann</w:t>
            </w:r>
          </w:p>
        </w:tc>
        <w:tc>
          <w:tcPr>
            <w:tcW w:w="1948" w:type="pct"/>
          </w:tcPr>
          <w:p w14:paraId="1CD567A1" w14:textId="4FC00CEC" w:rsidR="008857C3" w:rsidRDefault="008857C3" w:rsidP="004677CD">
            <w:pPr>
              <w:pStyle w:val="CAR-TableText-Left"/>
            </w:pPr>
            <w:r>
              <w:t>Business Member</w:t>
            </w:r>
          </w:p>
        </w:tc>
        <w:tc>
          <w:tcPr>
            <w:tcW w:w="1388" w:type="pct"/>
          </w:tcPr>
          <w:p w14:paraId="41F55239" w14:textId="15BCA26A" w:rsidR="008857C3" w:rsidRDefault="008857C3" w:rsidP="00610503">
            <w:pPr>
              <w:pStyle w:val="CAR-TableText-Right"/>
            </w:pPr>
            <w:r>
              <w:t>3 December 2018</w:t>
            </w:r>
          </w:p>
        </w:tc>
      </w:tr>
      <w:tr w:rsidR="00C63DA2" w:rsidRPr="00AB39A0" w14:paraId="20442181" w14:textId="77777777" w:rsidTr="00000B2E">
        <w:tc>
          <w:tcPr>
            <w:tcW w:w="1664" w:type="pct"/>
          </w:tcPr>
          <w:p w14:paraId="550DA852" w14:textId="77777777" w:rsidR="00C63DA2" w:rsidRPr="00AB39A0" w:rsidRDefault="00C63DA2" w:rsidP="004677CD">
            <w:pPr>
              <w:pStyle w:val="CAR-TableText-Left"/>
            </w:pPr>
            <w:r w:rsidRPr="00AB39A0">
              <w:t>Eric Passaris</w:t>
            </w:r>
          </w:p>
        </w:tc>
        <w:tc>
          <w:tcPr>
            <w:tcW w:w="1948" w:type="pct"/>
          </w:tcPr>
          <w:p w14:paraId="07FF4068" w14:textId="77777777" w:rsidR="00C63DA2" w:rsidRPr="00AB39A0" w:rsidRDefault="00C63DA2" w:rsidP="004677CD">
            <w:pPr>
              <w:pStyle w:val="CAR-TableText-Left"/>
            </w:pPr>
            <w:r w:rsidRPr="00AB39A0">
              <w:t xml:space="preserve">Accounting member </w:t>
            </w:r>
          </w:p>
        </w:tc>
        <w:tc>
          <w:tcPr>
            <w:tcW w:w="1388" w:type="pct"/>
          </w:tcPr>
          <w:p w14:paraId="66568549" w14:textId="5818BCBB" w:rsidR="00C63DA2" w:rsidRPr="00AB39A0" w:rsidRDefault="002D487E" w:rsidP="002D487E">
            <w:pPr>
              <w:pStyle w:val="CAR-TableText-Right"/>
            </w:pPr>
            <w:r>
              <w:t>28 July</w:t>
            </w:r>
            <w:r w:rsidR="00C63DA2" w:rsidRPr="00AB39A0">
              <w:t xml:space="preserve"> 20</w:t>
            </w:r>
            <w:r>
              <w:t>17</w:t>
            </w:r>
          </w:p>
        </w:tc>
      </w:tr>
      <w:tr w:rsidR="00C63DA2" w:rsidRPr="00AB39A0" w14:paraId="5A9FC0CC" w14:textId="77777777" w:rsidTr="00000B2E">
        <w:tc>
          <w:tcPr>
            <w:tcW w:w="1664" w:type="pct"/>
          </w:tcPr>
          <w:p w14:paraId="7CCD3464" w14:textId="6D361525" w:rsidR="00C63DA2" w:rsidRPr="00AB39A0" w:rsidRDefault="00C63DA2" w:rsidP="004677CD">
            <w:pPr>
              <w:pStyle w:val="CAR-TableText-Left"/>
            </w:pPr>
            <w:r w:rsidRPr="00AB39A0">
              <w:t>Karen O’Flynn</w:t>
            </w:r>
          </w:p>
        </w:tc>
        <w:tc>
          <w:tcPr>
            <w:tcW w:w="1948" w:type="pct"/>
          </w:tcPr>
          <w:p w14:paraId="675FE699" w14:textId="77777777" w:rsidR="00C63DA2" w:rsidRPr="00AB39A0" w:rsidRDefault="00C63DA2" w:rsidP="004677CD">
            <w:pPr>
              <w:pStyle w:val="CAR-TableText-Left"/>
            </w:pPr>
            <w:r w:rsidRPr="00AB39A0">
              <w:t>Business member</w:t>
            </w:r>
          </w:p>
        </w:tc>
        <w:tc>
          <w:tcPr>
            <w:tcW w:w="1388" w:type="pct"/>
          </w:tcPr>
          <w:p w14:paraId="651E689A" w14:textId="184EC152" w:rsidR="00C63DA2" w:rsidRPr="00AB39A0" w:rsidRDefault="00C63DA2" w:rsidP="00610503">
            <w:pPr>
              <w:pStyle w:val="CAR-TableText-Right"/>
            </w:pPr>
            <w:r w:rsidRPr="00AB39A0">
              <w:t>1</w:t>
            </w:r>
            <w:r>
              <w:t>3</w:t>
            </w:r>
            <w:r w:rsidRPr="00AB39A0">
              <w:t xml:space="preserve"> December 201</w:t>
            </w:r>
            <w:r>
              <w:t>8</w:t>
            </w:r>
          </w:p>
        </w:tc>
      </w:tr>
    </w:tbl>
    <w:p w14:paraId="16383D30" w14:textId="77777777" w:rsidR="002B4F3B" w:rsidRPr="00AB39A0" w:rsidRDefault="002B4F3B" w:rsidP="002B4F3B">
      <w:pPr>
        <w:pStyle w:val="SingleParagraph"/>
      </w:pPr>
    </w:p>
    <w:p w14:paraId="42A7D005" w14:textId="18E206F8" w:rsidR="00CE3CE2" w:rsidRDefault="00555DCF" w:rsidP="0000696C">
      <w:pPr>
        <w:pStyle w:val="CAR-BodyText-Left"/>
        <w:jc w:val="both"/>
      </w:pPr>
      <w:r w:rsidRPr="00AB39A0">
        <w:t xml:space="preserve">Biographical </w:t>
      </w:r>
      <w:r w:rsidR="007D5AB9" w:rsidRPr="00AB39A0">
        <w:t>d</w:t>
      </w:r>
      <w:r w:rsidRPr="00AB39A0">
        <w:t xml:space="preserve">etails </w:t>
      </w:r>
      <w:r w:rsidR="008C3AA5" w:rsidRPr="00AB39A0">
        <w:t>of the</w:t>
      </w:r>
      <w:r w:rsidRPr="00AB39A0">
        <w:t xml:space="preserve"> current members are included in </w:t>
      </w:r>
      <w:r w:rsidR="005B6C28" w:rsidRPr="00AB39A0">
        <w:rPr>
          <w:b/>
        </w:rPr>
        <w:t>Appendix 2</w:t>
      </w:r>
      <w:r w:rsidRPr="00AB39A0">
        <w:t xml:space="preserve">. </w:t>
      </w:r>
      <w:r w:rsidR="002E29C4">
        <w:t xml:space="preserve">Each of the current </w:t>
      </w:r>
      <w:r w:rsidR="00E573D3">
        <w:t>CADB</w:t>
      </w:r>
      <w:r w:rsidR="002E29C4">
        <w:t xml:space="preserve"> members fulfil</w:t>
      </w:r>
      <w:r w:rsidR="00197BC1">
        <w:t>s</w:t>
      </w:r>
      <w:r w:rsidR="002E29C4">
        <w:t xml:space="preserve"> the requirements of </w:t>
      </w:r>
      <w:r w:rsidR="0067103D">
        <w:t>Section</w:t>
      </w:r>
      <w:r w:rsidR="00197BC1">
        <w:t xml:space="preserve"> </w:t>
      </w:r>
      <w:r w:rsidR="002E29C4">
        <w:t xml:space="preserve">203 of the ASIC Act with respect to their membership of the </w:t>
      </w:r>
      <w:r w:rsidR="00E573D3">
        <w:t>CADB</w:t>
      </w:r>
      <w:r w:rsidR="002E29C4">
        <w:t xml:space="preserve">.  </w:t>
      </w:r>
    </w:p>
    <w:p w14:paraId="6FCD8752" w14:textId="7DA07066" w:rsidR="009130B7" w:rsidRPr="00AB39A0" w:rsidRDefault="0067103D" w:rsidP="0000696C">
      <w:pPr>
        <w:pStyle w:val="CAR-BodyText-Left"/>
        <w:jc w:val="both"/>
      </w:pPr>
      <w:r>
        <w:t>Section</w:t>
      </w:r>
      <w:r w:rsidR="009130B7" w:rsidRPr="00AB39A0">
        <w:t xml:space="preserve"> 210A of the ASIC Act provides that panels convened to hear applications must be constituted by either five members or three members, including either the Chair or the Deputy Chair as the panel chair, and either one or two business members and one or two accounting members as the case may be.</w:t>
      </w:r>
      <w:r w:rsidR="002E29C4">
        <w:t xml:space="preserve"> Each of the Panels convened during the year fulfilled the requirements of </w:t>
      </w:r>
      <w:r>
        <w:t>Section</w:t>
      </w:r>
      <w:r w:rsidR="006473DE">
        <w:t xml:space="preserve"> </w:t>
      </w:r>
      <w:r w:rsidR="002E29C4">
        <w:t xml:space="preserve">210A of the ASIC Act. </w:t>
      </w:r>
    </w:p>
    <w:p w14:paraId="21DB8363" w14:textId="2342CAEB" w:rsidR="007B4D03" w:rsidRPr="00AB39A0" w:rsidRDefault="0034082C" w:rsidP="0000696C">
      <w:pPr>
        <w:pStyle w:val="SingleParagraph"/>
        <w:spacing w:before="240"/>
        <w:jc w:val="both"/>
        <w:rPr>
          <w:sz w:val="20"/>
          <w:szCs w:val="20"/>
        </w:rPr>
      </w:pPr>
      <w:r w:rsidRPr="00AB39A0">
        <w:rPr>
          <w:sz w:val="20"/>
          <w:szCs w:val="20"/>
        </w:rPr>
        <w:t>As may be noted from the above table</w:t>
      </w:r>
      <w:r w:rsidR="00193021" w:rsidRPr="00AB39A0">
        <w:rPr>
          <w:sz w:val="20"/>
          <w:szCs w:val="20"/>
        </w:rPr>
        <w:t>,</w:t>
      </w:r>
      <w:r w:rsidRPr="00AB39A0">
        <w:rPr>
          <w:sz w:val="20"/>
          <w:szCs w:val="20"/>
        </w:rPr>
        <w:t xml:space="preserve"> the Board had </w:t>
      </w:r>
      <w:r w:rsidR="008857C3">
        <w:rPr>
          <w:sz w:val="20"/>
          <w:szCs w:val="20"/>
        </w:rPr>
        <w:t>t</w:t>
      </w:r>
      <w:r w:rsidR="00950D35">
        <w:rPr>
          <w:sz w:val="20"/>
          <w:szCs w:val="20"/>
        </w:rPr>
        <w:t>hree</w:t>
      </w:r>
      <w:r w:rsidRPr="00AB39A0">
        <w:rPr>
          <w:sz w:val="20"/>
          <w:szCs w:val="20"/>
        </w:rPr>
        <w:t xml:space="preserve"> </w:t>
      </w:r>
      <w:r w:rsidR="003A1C05" w:rsidRPr="00AB39A0">
        <w:rPr>
          <w:sz w:val="20"/>
          <w:szCs w:val="20"/>
        </w:rPr>
        <w:t>business member</w:t>
      </w:r>
      <w:r w:rsidR="008857C3">
        <w:rPr>
          <w:sz w:val="20"/>
          <w:szCs w:val="20"/>
        </w:rPr>
        <w:t>s</w:t>
      </w:r>
      <w:r w:rsidR="003A1C05" w:rsidRPr="00AB39A0">
        <w:rPr>
          <w:sz w:val="20"/>
          <w:szCs w:val="20"/>
        </w:rPr>
        <w:t xml:space="preserve"> </w:t>
      </w:r>
      <w:r w:rsidR="00771FE6" w:rsidRPr="00AB39A0">
        <w:rPr>
          <w:sz w:val="20"/>
          <w:szCs w:val="20"/>
        </w:rPr>
        <w:t xml:space="preserve">and </w:t>
      </w:r>
      <w:r w:rsidR="00A16753">
        <w:rPr>
          <w:sz w:val="20"/>
          <w:szCs w:val="20"/>
        </w:rPr>
        <w:t>thre</w:t>
      </w:r>
      <w:r w:rsidR="00771FE6" w:rsidRPr="00AB39A0">
        <w:rPr>
          <w:sz w:val="20"/>
          <w:szCs w:val="20"/>
        </w:rPr>
        <w:t xml:space="preserve">e accounting members </w:t>
      </w:r>
      <w:r w:rsidR="00980CB3">
        <w:rPr>
          <w:sz w:val="20"/>
          <w:szCs w:val="20"/>
        </w:rPr>
        <w:t>current at the end</w:t>
      </w:r>
      <w:r w:rsidR="00043E44" w:rsidRPr="00AB39A0">
        <w:rPr>
          <w:sz w:val="20"/>
          <w:szCs w:val="20"/>
        </w:rPr>
        <w:t xml:space="preserve"> of the reporting year</w:t>
      </w:r>
      <w:r w:rsidR="00950D35">
        <w:rPr>
          <w:sz w:val="20"/>
          <w:szCs w:val="20"/>
        </w:rPr>
        <w:t xml:space="preserve"> although the terms of </w:t>
      </w:r>
      <w:r w:rsidR="006473DE">
        <w:rPr>
          <w:sz w:val="20"/>
          <w:szCs w:val="20"/>
        </w:rPr>
        <w:t>t</w:t>
      </w:r>
      <w:r w:rsidR="002D487E">
        <w:rPr>
          <w:sz w:val="20"/>
          <w:szCs w:val="20"/>
        </w:rPr>
        <w:t>hree</w:t>
      </w:r>
      <w:r w:rsidR="006473DE">
        <w:rPr>
          <w:sz w:val="20"/>
          <w:szCs w:val="20"/>
        </w:rPr>
        <w:t xml:space="preserve"> of the</w:t>
      </w:r>
      <w:r w:rsidR="00950D35">
        <w:rPr>
          <w:sz w:val="20"/>
          <w:szCs w:val="20"/>
        </w:rPr>
        <w:t xml:space="preserve"> accounting members </w:t>
      </w:r>
      <w:r w:rsidR="002D487E">
        <w:rPr>
          <w:sz w:val="20"/>
          <w:szCs w:val="20"/>
        </w:rPr>
        <w:t xml:space="preserve">are due to </w:t>
      </w:r>
      <w:r w:rsidR="00950D35">
        <w:rPr>
          <w:sz w:val="20"/>
          <w:szCs w:val="20"/>
        </w:rPr>
        <w:t>expire on 28 July 2017</w:t>
      </w:r>
      <w:r w:rsidR="00C44375" w:rsidRPr="00AB39A0">
        <w:rPr>
          <w:sz w:val="20"/>
          <w:szCs w:val="20"/>
        </w:rPr>
        <w:t xml:space="preserve">. </w:t>
      </w:r>
      <w:r w:rsidR="00C03AA1">
        <w:rPr>
          <w:rFonts w:cs="Book Antiqua"/>
          <w:color w:val="000000"/>
          <w:sz w:val="20"/>
          <w:szCs w:val="20"/>
        </w:rPr>
        <w:t>The Board consults with the Department of Treasury regarding the need to make further member appointments and/or re-appointments from time to time to ensure the Board is able to carry out its functions.</w:t>
      </w:r>
      <w:r w:rsidR="00C44375" w:rsidRPr="00AB39A0">
        <w:rPr>
          <w:sz w:val="20"/>
          <w:szCs w:val="20"/>
        </w:rPr>
        <w:t xml:space="preserve"> </w:t>
      </w:r>
    </w:p>
    <w:p w14:paraId="28D07141" w14:textId="29EB2AE9" w:rsidR="004677CD" w:rsidRPr="00AB39A0" w:rsidRDefault="004677CD" w:rsidP="0000696C">
      <w:pPr>
        <w:pStyle w:val="SingleParagraph"/>
        <w:jc w:val="both"/>
      </w:pPr>
    </w:p>
    <w:p w14:paraId="6F9ACB09" w14:textId="037F9073" w:rsidR="003C0591" w:rsidRPr="00AB39A0" w:rsidRDefault="003C0591" w:rsidP="0000696C">
      <w:pPr>
        <w:pStyle w:val="Heading1"/>
        <w:jc w:val="both"/>
        <w:rPr>
          <w:lang w:val="en-AU"/>
        </w:rPr>
      </w:pPr>
      <w:bookmarkStart w:id="5" w:name="_Toc460850445"/>
      <w:r w:rsidRPr="00AB39A0">
        <w:rPr>
          <w:lang w:val="en-AU"/>
        </w:rPr>
        <w:t xml:space="preserve">Operational </w:t>
      </w:r>
      <w:r w:rsidR="004013F4" w:rsidRPr="00AB39A0">
        <w:rPr>
          <w:lang w:val="en-AU"/>
        </w:rPr>
        <w:t>I</w:t>
      </w:r>
      <w:r w:rsidR="004677CD" w:rsidRPr="00AB39A0">
        <w:rPr>
          <w:lang w:val="en-AU"/>
        </w:rPr>
        <w:t>n</w:t>
      </w:r>
      <w:r w:rsidR="004013F4" w:rsidRPr="00AB39A0">
        <w:rPr>
          <w:lang w:val="en-AU"/>
        </w:rPr>
        <w:t xml:space="preserve">formation </w:t>
      </w:r>
      <w:r w:rsidR="00A16753">
        <w:rPr>
          <w:lang w:val="en-AU"/>
        </w:rPr>
        <w:t>201</w:t>
      </w:r>
      <w:r w:rsidR="00E573D3">
        <w:rPr>
          <w:lang w:val="en-AU"/>
        </w:rPr>
        <w:t>6</w:t>
      </w:r>
      <w:r w:rsidR="00C44375" w:rsidRPr="00AB39A0">
        <w:rPr>
          <w:lang w:val="en-AU"/>
        </w:rPr>
        <w:noBreakHyphen/>
      </w:r>
      <w:r w:rsidRPr="00AB39A0">
        <w:rPr>
          <w:lang w:val="en-AU"/>
        </w:rPr>
        <w:t>1</w:t>
      </w:r>
      <w:bookmarkEnd w:id="5"/>
      <w:r w:rsidR="00E573D3">
        <w:rPr>
          <w:lang w:val="en-AU"/>
        </w:rPr>
        <w:t>7</w:t>
      </w:r>
    </w:p>
    <w:p w14:paraId="41A36997" w14:textId="206C08D0" w:rsidR="00F71E2A" w:rsidRPr="00AB39A0" w:rsidRDefault="005B6C28" w:rsidP="0000696C">
      <w:pPr>
        <w:pStyle w:val="Heading2"/>
        <w:jc w:val="both"/>
      </w:pPr>
      <w:bookmarkStart w:id="6" w:name="_Toc460850446"/>
      <w:r w:rsidRPr="00AB39A0">
        <w:t>Registrar</w:t>
      </w:r>
      <w:bookmarkEnd w:id="6"/>
    </w:p>
    <w:p w14:paraId="3516A41E" w14:textId="74BFBB11" w:rsidR="003907F1" w:rsidRPr="00AB39A0" w:rsidRDefault="003907F1" w:rsidP="0000696C">
      <w:pPr>
        <w:pStyle w:val="CAR-BodyText-Left"/>
        <w:jc w:val="both"/>
      </w:pPr>
      <w:r w:rsidRPr="00AB39A0">
        <w:t xml:space="preserve">The administrative business and operations of </w:t>
      </w:r>
      <w:r w:rsidR="00E573D3">
        <w:t>CADB</w:t>
      </w:r>
      <w:r w:rsidRPr="00AB39A0">
        <w:t xml:space="preserve"> are conducted by its Registrar, Mr Gary Hoare</w:t>
      </w:r>
      <w:r w:rsidR="00494F86" w:rsidRPr="00AB39A0">
        <w:t xml:space="preserve">. </w:t>
      </w:r>
      <w:r w:rsidRPr="00AB39A0">
        <w:t xml:space="preserve">Mr Hoare is a full time employee of ASIC permanently seconded to </w:t>
      </w:r>
      <w:r w:rsidR="00E573D3">
        <w:t>CADB</w:t>
      </w:r>
      <w:r w:rsidR="00494F86" w:rsidRPr="00AB39A0">
        <w:t xml:space="preserve">. </w:t>
      </w:r>
    </w:p>
    <w:p w14:paraId="40A2D9B5" w14:textId="77777777" w:rsidR="00305B0A" w:rsidRPr="00AB39A0" w:rsidRDefault="005B6C28" w:rsidP="0000696C">
      <w:pPr>
        <w:pStyle w:val="Heading2"/>
        <w:jc w:val="both"/>
      </w:pPr>
      <w:bookmarkStart w:id="7" w:name="_Toc460850447"/>
      <w:r w:rsidRPr="00AB39A0">
        <w:t>Premises</w:t>
      </w:r>
      <w:bookmarkEnd w:id="7"/>
    </w:p>
    <w:p w14:paraId="4286C12E" w14:textId="20B00B84" w:rsidR="002E303D" w:rsidRPr="00AB39A0" w:rsidRDefault="009F03C9" w:rsidP="0000696C">
      <w:pPr>
        <w:pStyle w:val="CAR-BodyText-Left"/>
        <w:jc w:val="both"/>
      </w:pPr>
      <w:r w:rsidRPr="00AB39A0">
        <w:t xml:space="preserve">During the year, </w:t>
      </w:r>
      <w:r w:rsidR="00E573D3">
        <w:t>CADB</w:t>
      </w:r>
      <w:r w:rsidRPr="00AB39A0">
        <w:t xml:space="preserve"> </w:t>
      </w:r>
      <w:r w:rsidR="00A16753">
        <w:t>continued to occupy offices on</w:t>
      </w:r>
      <w:r w:rsidRPr="00AB39A0">
        <w:t xml:space="preserve"> level 10 of 100 Market </w:t>
      </w:r>
      <w:r w:rsidR="002B2659" w:rsidRPr="00AB39A0">
        <w:t xml:space="preserve">Street </w:t>
      </w:r>
      <w:r w:rsidR="002B2659">
        <w:t>in</w:t>
      </w:r>
      <w:r w:rsidR="003A1C05">
        <w:t xml:space="preserve"> </w:t>
      </w:r>
      <w:r w:rsidRPr="00AB39A0">
        <w:t>Sydney</w:t>
      </w:r>
      <w:r w:rsidR="00C44375" w:rsidRPr="00AB39A0">
        <w:t>.</w:t>
      </w:r>
      <w:r w:rsidR="009E15A1">
        <w:t xml:space="preserve"> </w:t>
      </w:r>
      <w:r w:rsidR="00561C2A">
        <w:t xml:space="preserve">Appropriate hearing venues are </w:t>
      </w:r>
      <w:r w:rsidR="003907F1" w:rsidRPr="00AB39A0">
        <w:t>hired, as needed, in Sydney and other location</w:t>
      </w:r>
      <w:r w:rsidR="00F2231C" w:rsidRPr="00AB39A0">
        <w:t>s</w:t>
      </w:r>
      <w:r w:rsidR="003907F1" w:rsidRPr="00AB39A0">
        <w:t xml:space="preserve"> in Australia</w:t>
      </w:r>
      <w:r w:rsidR="00494F86" w:rsidRPr="00AB39A0">
        <w:t xml:space="preserve">. </w:t>
      </w:r>
      <w:r w:rsidR="003907F1" w:rsidRPr="00AB39A0">
        <w:t xml:space="preserve">It is </w:t>
      </w:r>
      <w:r w:rsidR="00E573D3">
        <w:t>CADB</w:t>
      </w:r>
      <w:r w:rsidR="00C44375" w:rsidRPr="00AB39A0">
        <w:t>’</w:t>
      </w:r>
      <w:r w:rsidR="003907F1" w:rsidRPr="00AB39A0">
        <w:t xml:space="preserve">s </w:t>
      </w:r>
      <w:r w:rsidR="00950D35">
        <w:t xml:space="preserve">usual </w:t>
      </w:r>
      <w:r w:rsidR="003907F1" w:rsidRPr="00AB39A0">
        <w:t xml:space="preserve">policy </w:t>
      </w:r>
      <w:r w:rsidR="00950D35">
        <w:t>to conduct</w:t>
      </w:r>
      <w:r w:rsidR="003907F1" w:rsidRPr="00AB39A0">
        <w:t xml:space="preserve"> hearing</w:t>
      </w:r>
      <w:r w:rsidR="00950D35">
        <w:t>s</w:t>
      </w:r>
      <w:r w:rsidR="003907F1" w:rsidRPr="00AB39A0">
        <w:t xml:space="preserve"> in the capital city of the state of residence of the </w:t>
      </w:r>
      <w:r w:rsidR="003A1C05">
        <w:t>r</w:t>
      </w:r>
      <w:r w:rsidR="003907F1" w:rsidRPr="00AB39A0">
        <w:t>espondent</w:t>
      </w:r>
      <w:r w:rsidR="00561C2A">
        <w:t xml:space="preserve"> of the proceedings</w:t>
      </w:r>
      <w:r w:rsidR="00494F86" w:rsidRPr="00AB39A0">
        <w:t xml:space="preserve">. </w:t>
      </w:r>
      <w:r w:rsidR="003907F1" w:rsidRPr="00AB39A0">
        <w:t>The application of this policy may be varied in individual cases and</w:t>
      </w:r>
      <w:r w:rsidR="00E552BD" w:rsidRPr="00AB39A0">
        <w:t>,</w:t>
      </w:r>
      <w:r w:rsidR="003907F1" w:rsidRPr="00AB39A0">
        <w:t xml:space="preserve"> </w:t>
      </w:r>
      <w:r w:rsidR="004D2688">
        <w:t>if</w:t>
      </w:r>
      <w:r w:rsidR="003907F1" w:rsidRPr="00AB39A0">
        <w:t xml:space="preserve"> feasible</w:t>
      </w:r>
      <w:r w:rsidR="00E552BD" w:rsidRPr="00AB39A0">
        <w:t>,</w:t>
      </w:r>
      <w:r w:rsidR="003907F1" w:rsidRPr="00AB39A0">
        <w:t xml:space="preserve"> hearings </w:t>
      </w:r>
      <w:r w:rsidR="004D2688">
        <w:t>occur</w:t>
      </w:r>
      <w:r w:rsidR="003907F1" w:rsidRPr="00AB39A0">
        <w:t xml:space="preserve"> by telephone or video link</w:t>
      </w:r>
      <w:r w:rsidR="00F633C6" w:rsidRPr="00AB39A0">
        <w:t xml:space="preserve">. </w:t>
      </w:r>
    </w:p>
    <w:p w14:paraId="46ADE60A" w14:textId="37AF2FB9" w:rsidR="002E303D" w:rsidRPr="00AB39A0" w:rsidRDefault="006516ED" w:rsidP="0000696C">
      <w:pPr>
        <w:pStyle w:val="Heading2"/>
        <w:jc w:val="both"/>
      </w:pPr>
      <w:bookmarkStart w:id="8" w:name="_Toc460850448"/>
      <w:r w:rsidRPr="00AB39A0">
        <w:t xml:space="preserve">Applications received by </w:t>
      </w:r>
      <w:r w:rsidR="00E573D3">
        <w:t>CADB</w:t>
      </w:r>
      <w:r w:rsidR="00172C18" w:rsidRPr="00AB39A0">
        <w:t xml:space="preserve"> in the reporting year 201</w:t>
      </w:r>
      <w:r w:rsidR="00E573D3">
        <w:t>6</w:t>
      </w:r>
      <w:r w:rsidR="00172C18" w:rsidRPr="00AB39A0">
        <w:t>–</w:t>
      </w:r>
      <w:r w:rsidRPr="00AB39A0">
        <w:t>1</w:t>
      </w:r>
      <w:bookmarkEnd w:id="8"/>
      <w:r w:rsidR="00E573D3">
        <w:t>7</w:t>
      </w:r>
    </w:p>
    <w:p w14:paraId="185EEFCB" w14:textId="044D4F73" w:rsidR="002E303D" w:rsidRPr="00AB39A0" w:rsidRDefault="00561C2A" w:rsidP="0000696C">
      <w:pPr>
        <w:pStyle w:val="CAR-BodyText-Left"/>
        <w:jc w:val="both"/>
      </w:pPr>
      <w:r>
        <w:t>One</w:t>
      </w:r>
      <w:r w:rsidR="006E7738" w:rsidRPr="00AB39A0">
        <w:t xml:space="preserve"> </w:t>
      </w:r>
      <w:r w:rsidR="002E303D" w:rsidRPr="00AB39A0">
        <w:t>new application w</w:t>
      </w:r>
      <w:r>
        <w:t>as</w:t>
      </w:r>
      <w:r w:rsidR="002E303D" w:rsidRPr="00AB39A0">
        <w:t xml:space="preserve"> received </w:t>
      </w:r>
      <w:r>
        <w:t xml:space="preserve">from ASIC </w:t>
      </w:r>
      <w:r w:rsidR="002E303D" w:rsidRPr="00AB39A0">
        <w:t>during the reporting year</w:t>
      </w:r>
      <w:r w:rsidR="00494F86" w:rsidRPr="00AB39A0">
        <w:t xml:space="preserve">. </w:t>
      </w:r>
    </w:p>
    <w:p w14:paraId="0D21F047" w14:textId="2C13421A" w:rsidR="002E303D" w:rsidRPr="00AB39A0" w:rsidRDefault="002E303D" w:rsidP="0000696C">
      <w:pPr>
        <w:pStyle w:val="CAR-BodyText-Left"/>
        <w:jc w:val="both"/>
      </w:pPr>
      <w:r w:rsidRPr="00AB39A0">
        <w:t xml:space="preserve">The tables below provide a summary of the status of the matters before </w:t>
      </w:r>
      <w:r w:rsidR="00E573D3">
        <w:t>CADB</w:t>
      </w:r>
      <w:r w:rsidRPr="00AB39A0">
        <w:t xml:space="preserve"> during the reporting year:</w:t>
      </w:r>
      <w:r w:rsidRPr="00AB39A0" w:rsidDel="00DE6E85">
        <w:t xml:space="preserve"> </w:t>
      </w:r>
    </w:p>
    <w:p w14:paraId="6A0B89BD" w14:textId="77777777" w:rsidR="002E303D" w:rsidRPr="00AB39A0" w:rsidRDefault="002E303D" w:rsidP="00172C18">
      <w:pPr>
        <w:pStyle w:val="TableMainHeading"/>
      </w:pPr>
      <w:r w:rsidRPr="00AB39A0">
        <w:t>Auditors</w:t>
      </w:r>
    </w:p>
    <w:tbl>
      <w:tblPr>
        <w:tblW w:w="4883" w:type="pct"/>
        <w:tblInd w:w="108" w:type="dxa"/>
        <w:tblBorders>
          <w:top w:val="single" w:sz="2" w:space="0" w:color="000080"/>
          <w:bottom w:val="single" w:sz="2" w:space="0" w:color="000080"/>
        </w:tblBorders>
        <w:tblLook w:val="01E0" w:firstRow="1" w:lastRow="1" w:firstColumn="1" w:lastColumn="1" w:noHBand="0" w:noVBand="0"/>
      </w:tblPr>
      <w:tblGrid>
        <w:gridCol w:w="3871"/>
        <w:gridCol w:w="1959"/>
        <w:gridCol w:w="1912"/>
      </w:tblGrid>
      <w:tr w:rsidR="002E303D" w:rsidRPr="00AB39A0" w14:paraId="35064435" w14:textId="77777777" w:rsidTr="004677CD">
        <w:trPr>
          <w:cantSplit/>
          <w:tblHeader/>
        </w:trPr>
        <w:tc>
          <w:tcPr>
            <w:tcW w:w="2500" w:type="pct"/>
            <w:tcBorders>
              <w:top w:val="single" w:sz="2" w:space="0" w:color="000080"/>
              <w:bottom w:val="single" w:sz="2" w:space="0" w:color="000080"/>
            </w:tcBorders>
            <w:shd w:val="clear" w:color="auto" w:fill="F2F2F2" w:themeFill="background1" w:themeFillShade="F2"/>
            <w:vAlign w:val="center"/>
          </w:tcPr>
          <w:p w14:paraId="57B00F78" w14:textId="77777777" w:rsidR="002E303D" w:rsidRPr="00AB39A0" w:rsidRDefault="002E303D" w:rsidP="003B554F">
            <w:pPr>
              <w:pStyle w:val="CAR-TableColHead-Right"/>
            </w:pPr>
          </w:p>
        </w:tc>
        <w:tc>
          <w:tcPr>
            <w:tcW w:w="1265" w:type="pct"/>
            <w:tcBorders>
              <w:top w:val="single" w:sz="2" w:space="0" w:color="000080"/>
              <w:bottom w:val="single" w:sz="2" w:space="0" w:color="000080"/>
            </w:tcBorders>
            <w:shd w:val="clear" w:color="auto" w:fill="F2F2F2" w:themeFill="background1" w:themeFillShade="F2"/>
            <w:vAlign w:val="center"/>
          </w:tcPr>
          <w:p w14:paraId="184E5972" w14:textId="77777777" w:rsidR="002E303D" w:rsidRPr="00AB39A0" w:rsidRDefault="002E303D" w:rsidP="003B554F">
            <w:pPr>
              <w:pStyle w:val="CAR-TableColHead-Right"/>
            </w:pPr>
            <w:r w:rsidRPr="00AB39A0">
              <w:t>Conduct</w:t>
            </w:r>
          </w:p>
        </w:tc>
        <w:tc>
          <w:tcPr>
            <w:tcW w:w="1235" w:type="pct"/>
            <w:tcBorders>
              <w:top w:val="single" w:sz="2" w:space="0" w:color="000080"/>
              <w:bottom w:val="single" w:sz="2" w:space="0" w:color="000080"/>
            </w:tcBorders>
            <w:shd w:val="clear" w:color="auto" w:fill="F2F2F2" w:themeFill="background1" w:themeFillShade="F2"/>
            <w:vAlign w:val="center"/>
          </w:tcPr>
          <w:p w14:paraId="10CA1EA4" w14:textId="77777777" w:rsidR="002E303D" w:rsidRPr="00AB39A0" w:rsidRDefault="002E303D" w:rsidP="003B554F">
            <w:pPr>
              <w:pStyle w:val="CAR-TableColHead-Right"/>
            </w:pPr>
            <w:r w:rsidRPr="00AB39A0">
              <w:t>Administrative</w:t>
            </w:r>
          </w:p>
        </w:tc>
      </w:tr>
      <w:tr w:rsidR="00D06BB5" w:rsidRPr="00AB39A0" w14:paraId="7A44EACA" w14:textId="77777777" w:rsidTr="003B554F">
        <w:trPr>
          <w:cantSplit/>
        </w:trPr>
        <w:tc>
          <w:tcPr>
            <w:tcW w:w="2500" w:type="pct"/>
            <w:tcBorders>
              <w:top w:val="single" w:sz="2" w:space="0" w:color="000080"/>
            </w:tcBorders>
          </w:tcPr>
          <w:p w14:paraId="4C737BCC" w14:textId="2CBA7674" w:rsidR="00D06BB5" w:rsidRPr="00AB39A0" w:rsidRDefault="00D06BB5" w:rsidP="001129F5">
            <w:pPr>
              <w:pStyle w:val="CAR-TableText-Left"/>
            </w:pPr>
            <w:r w:rsidRPr="00AB39A0">
              <w:t>Uncompleted matters at 1/7/1</w:t>
            </w:r>
            <w:r>
              <w:t>6</w:t>
            </w:r>
          </w:p>
          <w:p w14:paraId="05611316" w14:textId="099E2F5E" w:rsidR="00D06BB5" w:rsidRPr="00AB39A0" w:rsidRDefault="00D06BB5" w:rsidP="00E573D3">
            <w:pPr>
              <w:pStyle w:val="CAR-TableText-Left"/>
            </w:pPr>
            <w:r w:rsidRPr="00AB39A0">
              <w:t>New Applications received in 201</w:t>
            </w:r>
            <w:r>
              <w:t>6</w:t>
            </w:r>
            <w:r w:rsidRPr="00AB39A0">
              <w:t>/201</w:t>
            </w:r>
            <w:r>
              <w:t>7</w:t>
            </w:r>
            <w:r w:rsidRPr="00AB39A0">
              <w:t xml:space="preserve"> year</w:t>
            </w:r>
          </w:p>
        </w:tc>
        <w:tc>
          <w:tcPr>
            <w:tcW w:w="1265" w:type="pct"/>
            <w:tcBorders>
              <w:top w:val="single" w:sz="2" w:space="0" w:color="000080"/>
            </w:tcBorders>
          </w:tcPr>
          <w:p w14:paraId="191B8BBD" w14:textId="77777777" w:rsidR="00D06BB5" w:rsidRDefault="00F06788" w:rsidP="001129F5">
            <w:pPr>
              <w:pStyle w:val="CAR-TableText-Right"/>
            </w:pPr>
            <w:r>
              <w:t>-</w:t>
            </w:r>
          </w:p>
          <w:p w14:paraId="5F63AE25" w14:textId="50CC8AFB" w:rsidR="00F06788" w:rsidRPr="00AB39A0" w:rsidRDefault="00F06788" w:rsidP="001129F5">
            <w:pPr>
              <w:pStyle w:val="CAR-TableText-Right"/>
            </w:pPr>
            <w:r>
              <w:t>1</w:t>
            </w:r>
          </w:p>
        </w:tc>
        <w:tc>
          <w:tcPr>
            <w:tcW w:w="1235" w:type="pct"/>
            <w:tcBorders>
              <w:top w:val="single" w:sz="2" w:space="0" w:color="000080"/>
            </w:tcBorders>
          </w:tcPr>
          <w:p w14:paraId="1399DC1F" w14:textId="77777777" w:rsidR="00D06BB5" w:rsidRDefault="00883F98" w:rsidP="001129F5">
            <w:pPr>
              <w:pStyle w:val="CAR-TableText-Right"/>
            </w:pPr>
            <w:r w:rsidRPr="00AB39A0">
              <w:noBreakHyphen/>
            </w:r>
          </w:p>
          <w:p w14:paraId="7E5ABE56" w14:textId="47AAAA08" w:rsidR="00F06788" w:rsidRPr="00AB39A0" w:rsidRDefault="00F06788" w:rsidP="001129F5">
            <w:pPr>
              <w:pStyle w:val="CAR-TableText-Right"/>
            </w:pPr>
            <w:r w:rsidRPr="00AB39A0">
              <w:noBreakHyphen/>
            </w:r>
          </w:p>
        </w:tc>
      </w:tr>
      <w:tr w:rsidR="002E303D" w:rsidRPr="00AB39A0" w14:paraId="197D1754" w14:textId="77777777" w:rsidTr="003B554F">
        <w:trPr>
          <w:cantSplit/>
        </w:trPr>
        <w:tc>
          <w:tcPr>
            <w:tcW w:w="2500" w:type="pct"/>
          </w:tcPr>
          <w:p w14:paraId="40F049D5" w14:textId="77777777" w:rsidR="002E303D" w:rsidRPr="00AB39A0" w:rsidRDefault="002E303D" w:rsidP="001129F5">
            <w:pPr>
              <w:pStyle w:val="CAR-TableText-Left"/>
            </w:pPr>
            <w:r w:rsidRPr="00AB39A0">
              <w:t>Matters withdrawn</w:t>
            </w:r>
          </w:p>
          <w:p w14:paraId="5D4D535C" w14:textId="3D95EA9B" w:rsidR="002E303D" w:rsidRPr="00AB39A0" w:rsidRDefault="003A1C05" w:rsidP="00AA5810">
            <w:pPr>
              <w:pStyle w:val="CAR-TableText-Left"/>
            </w:pPr>
            <w:r>
              <w:t>Matters d</w:t>
            </w:r>
            <w:r w:rsidR="002E303D" w:rsidRPr="00AB39A0">
              <w:t>ealt with</w:t>
            </w:r>
            <w:r w:rsidR="00494F86" w:rsidRPr="00AB39A0">
              <w:t xml:space="preserve"> — </w:t>
            </w:r>
            <w:r>
              <w:t>o</w:t>
            </w:r>
            <w:r w:rsidR="002E303D" w:rsidRPr="00AB39A0">
              <w:t>rders issued</w:t>
            </w:r>
          </w:p>
        </w:tc>
        <w:tc>
          <w:tcPr>
            <w:tcW w:w="1265" w:type="pct"/>
          </w:tcPr>
          <w:p w14:paraId="7A83C83C" w14:textId="2337F80C" w:rsidR="002E303D" w:rsidRPr="00AB39A0" w:rsidRDefault="00C44375" w:rsidP="001129F5">
            <w:pPr>
              <w:pStyle w:val="CAR-TableText-Right"/>
            </w:pPr>
            <w:r w:rsidRPr="00AB39A0">
              <w:noBreakHyphen/>
            </w:r>
          </w:p>
          <w:p w14:paraId="2CA5A181" w14:textId="063E30CB" w:rsidR="002E303D" w:rsidRPr="00AB39A0" w:rsidDel="00317C0C" w:rsidRDefault="00E573D3" w:rsidP="001129F5">
            <w:pPr>
              <w:pStyle w:val="CAR-TableText-Right"/>
            </w:pPr>
            <w:r w:rsidRPr="00AB39A0">
              <w:noBreakHyphen/>
            </w:r>
          </w:p>
        </w:tc>
        <w:tc>
          <w:tcPr>
            <w:tcW w:w="1235" w:type="pct"/>
          </w:tcPr>
          <w:p w14:paraId="6931A781" w14:textId="1A097F40" w:rsidR="002E303D" w:rsidRPr="00AB39A0" w:rsidRDefault="00C44375" w:rsidP="001129F5">
            <w:pPr>
              <w:pStyle w:val="CAR-TableText-Right"/>
            </w:pPr>
            <w:r w:rsidRPr="00AB39A0">
              <w:noBreakHyphen/>
            </w:r>
          </w:p>
          <w:p w14:paraId="30F3F14E" w14:textId="7707E3A5" w:rsidR="002E303D" w:rsidRPr="00AB39A0" w:rsidRDefault="00C44375" w:rsidP="001129F5">
            <w:pPr>
              <w:pStyle w:val="CAR-TableText-Right"/>
            </w:pPr>
            <w:r w:rsidRPr="00AB39A0">
              <w:noBreakHyphen/>
            </w:r>
          </w:p>
        </w:tc>
      </w:tr>
      <w:tr w:rsidR="002E303D" w:rsidRPr="00AB39A0" w14:paraId="052BE40C" w14:textId="77777777" w:rsidTr="003B554F">
        <w:trPr>
          <w:cantSplit/>
        </w:trPr>
        <w:tc>
          <w:tcPr>
            <w:tcW w:w="2500" w:type="pct"/>
          </w:tcPr>
          <w:p w14:paraId="6EF4AAC2" w14:textId="556D8E5B" w:rsidR="002E303D" w:rsidRPr="00AB39A0" w:rsidRDefault="002E303D" w:rsidP="00E573D3">
            <w:pPr>
              <w:pStyle w:val="CAR-TableText-Left"/>
            </w:pPr>
            <w:r w:rsidRPr="00AB39A0">
              <w:t>Uncompleted matters at 30/6/1</w:t>
            </w:r>
            <w:r w:rsidR="00E573D3">
              <w:t>7</w:t>
            </w:r>
          </w:p>
        </w:tc>
        <w:tc>
          <w:tcPr>
            <w:tcW w:w="1265" w:type="pct"/>
          </w:tcPr>
          <w:p w14:paraId="3B47CBFD" w14:textId="08AD9013" w:rsidR="002E303D" w:rsidRPr="00AB39A0" w:rsidRDefault="005E67E5" w:rsidP="001129F5">
            <w:pPr>
              <w:pStyle w:val="CAR-TableText-Right"/>
            </w:pPr>
            <w:r>
              <w:t>1</w:t>
            </w:r>
          </w:p>
        </w:tc>
        <w:tc>
          <w:tcPr>
            <w:tcW w:w="1235" w:type="pct"/>
          </w:tcPr>
          <w:p w14:paraId="4C6977F6" w14:textId="335C8A85" w:rsidR="002E303D" w:rsidRPr="00AB39A0" w:rsidRDefault="00C44375" w:rsidP="001129F5">
            <w:pPr>
              <w:pStyle w:val="CAR-TableText-Right"/>
            </w:pPr>
            <w:r w:rsidRPr="00AB39A0">
              <w:noBreakHyphen/>
            </w:r>
          </w:p>
        </w:tc>
      </w:tr>
    </w:tbl>
    <w:p w14:paraId="7FD8655D" w14:textId="77777777" w:rsidR="002E303D" w:rsidRPr="00AB39A0" w:rsidRDefault="002E303D" w:rsidP="00172C18">
      <w:pPr>
        <w:pStyle w:val="TableMainHeading"/>
      </w:pPr>
      <w:r w:rsidRPr="00AB39A0">
        <w:t>Liquidators</w:t>
      </w:r>
    </w:p>
    <w:tbl>
      <w:tblPr>
        <w:tblW w:w="4883" w:type="pct"/>
        <w:tblInd w:w="108" w:type="dxa"/>
        <w:tblBorders>
          <w:top w:val="single" w:sz="2" w:space="0" w:color="000080"/>
          <w:bottom w:val="single" w:sz="2" w:space="0" w:color="000080"/>
        </w:tblBorders>
        <w:tblLook w:val="01E0" w:firstRow="1" w:lastRow="1" w:firstColumn="1" w:lastColumn="1" w:noHBand="0" w:noVBand="0"/>
      </w:tblPr>
      <w:tblGrid>
        <w:gridCol w:w="3873"/>
        <w:gridCol w:w="1957"/>
        <w:gridCol w:w="1912"/>
      </w:tblGrid>
      <w:tr w:rsidR="002E303D" w:rsidRPr="00AB39A0" w14:paraId="0E70B6C2" w14:textId="77777777" w:rsidTr="004677CD">
        <w:trPr>
          <w:cantSplit/>
          <w:tblHeader/>
        </w:trPr>
        <w:tc>
          <w:tcPr>
            <w:tcW w:w="2501" w:type="pct"/>
            <w:tcBorders>
              <w:top w:val="single" w:sz="2" w:space="0" w:color="000080"/>
              <w:bottom w:val="single" w:sz="2" w:space="0" w:color="000080"/>
            </w:tcBorders>
            <w:shd w:val="clear" w:color="auto" w:fill="F2F2F2" w:themeFill="background1" w:themeFillShade="F2"/>
            <w:vAlign w:val="center"/>
          </w:tcPr>
          <w:p w14:paraId="2BB5AC27" w14:textId="77777777" w:rsidR="002E303D" w:rsidRPr="00AB39A0" w:rsidRDefault="002E303D" w:rsidP="003B554F">
            <w:pPr>
              <w:pStyle w:val="CAR-TableColHead-Right"/>
            </w:pPr>
          </w:p>
        </w:tc>
        <w:tc>
          <w:tcPr>
            <w:tcW w:w="1264" w:type="pct"/>
            <w:tcBorders>
              <w:top w:val="single" w:sz="2" w:space="0" w:color="000080"/>
              <w:bottom w:val="single" w:sz="2" w:space="0" w:color="000080"/>
            </w:tcBorders>
            <w:shd w:val="clear" w:color="auto" w:fill="F2F2F2" w:themeFill="background1" w:themeFillShade="F2"/>
            <w:vAlign w:val="center"/>
          </w:tcPr>
          <w:p w14:paraId="739A284F" w14:textId="77777777" w:rsidR="002E303D" w:rsidRPr="00AB39A0" w:rsidRDefault="002E303D" w:rsidP="003B554F">
            <w:pPr>
              <w:pStyle w:val="CAR-TableColHead-Right"/>
            </w:pPr>
            <w:r w:rsidRPr="00AB39A0">
              <w:t>Conduct</w:t>
            </w:r>
          </w:p>
        </w:tc>
        <w:tc>
          <w:tcPr>
            <w:tcW w:w="1235" w:type="pct"/>
            <w:tcBorders>
              <w:top w:val="single" w:sz="2" w:space="0" w:color="000080"/>
              <w:bottom w:val="single" w:sz="2" w:space="0" w:color="000080"/>
            </w:tcBorders>
            <w:shd w:val="clear" w:color="auto" w:fill="F2F2F2" w:themeFill="background1" w:themeFillShade="F2"/>
            <w:vAlign w:val="center"/>
          </w:tcPr>
          <w:p w14:paraId="7C095E39" w14:textId="77777777" w:rsidR="002E303D" w:rsidRPr="00AB39A0" w:rsidRDefault="002E303D" w:rsidP="003B554F">
            <w:pPr>
              <w:pStyle w:val="CAR-TableColHead-Right"/>
            </w:pPr>
            <w:r w:rsidRPr="00AB39A0">
              <w:t>Administrative</w:t>
            </w:r>
          </w:p>
        </w:tc>
      </w:tr>
      <w:tr w:rsidR="002E303D" w:rsidRPr="00AB39A0" w14:paraId="45907CEA" w14:textId="77777777" w:rsidTr="003B554F">
        <w:trPr>
          <w:cantSplit/>
        </w:trPr>
        <w:tc>
          <w:tcPr>
            <w:tcW w:w="2501" w:type="pct"/>
            <w:tcBorders>
              <w:top w:val="single" w:sz="2" w:space="0" w:color="000080"/>
            </w:tcBorders>
          </w:tcPr>
          <w:p w14:paraId="151FE24F" w14:textId="1DAEEE1A" w:rsidR="002E303D" w:rsidRPr="00AB39A0" w:rsidRDefault="002E303D" w:rsidP="001129F5">
            <w:pPr>
              <w:pStyle w:val="CAR-TableText-Left"/>
            </w:pPr>
            <w:r w:rsidRPr="00AB39A0">
              <w:t>Uncompleted matters at 1/7/1</w:t>
            </w:r>
            <w:r w:rsidR="00E573D3">
              <w:t>6</w:t>
            </w:r>
          </w:p>
          <w:p w14:paraId="03399C29" w14:textId="76F84FAF" w:rsidR="002E303D" w:rsidRPr="00AB39A0" w:rsidRDefault="003A1C05" w:rsidP="001129F5">
            <w:pPr>
              <w:pStyle w:val="CAR-TableText-Left"/>
            </w:pPr>
            <w:r>
              <w:t>New a</w:t>
            </w:r>
            <w:r w:rsidR="002E303D" w:rsidRPr="00AB39A0">
              <w:t>pplications</w:t>
            </w:r>
            <w:r w:rsidR="002A39A7" w:rsidRPr="00AB39A0">
              <w:t xml:space="preserve"> received in 201</w:t>
            </w:r>
            <w:r w:rsidR="00E573D3">
              <w:t>6</w:t>
            </w:r>
            <w:r w:rsidR="002A39A7" w:rsidRPr="00AB39A0">
              <w:t>/201</w:t>
            </w:r>
            <w:r w:rsidR="00E573D3">
              <w:t>7</w:t>
            </w:r>
            <w:r w:rsidR="002A39A7" w:rsidRPr="00AB39A0">
              <w:t xml:space="preserve"> year</w:t>
            </w:r>
          </w:p>
          <w:p w14:paraId="542891DB" w14:textId="781D3918" w:rsidR="002E303D" w:rsidRPr="00AB39A0" w:rsidRDefault="003A1C05" w:rsidP="001129F5">
            <w:pPr>
              <w:pStyle w:val="CAR-TableText-Left"/>
            </w:pPr>
            <w:r>
              <w:t>Matters w</w:t>
            </w:r>
            <w:r w:rsidR="002E303D" w:rsidRPr="00AB39A0">
              <w:t>ithdrawn</w:t>
            </w:r>
          </w:p>
        </w:tc>
        <w:tc>
          <w:tcPr>
            <w:tcW w:w="1264" w:type="pct"/>
            <w:tcBorders>
              <w:top w:val="single" w:sz="2" w:space="0" w:color="000080"/>
            </w:tcBorders>
          </w:tcPr>
          <w:p w14:paraId="33706AE9" w14:textId="7F22508D" w:rsidR="002E303D" w:rsidRPr="00AB39A0" w:rsidRDefault="006B629B" w:rsidP="001129F5">
            <w:pPr>
              <w:pStyle w:val="CAR-TableText-Right"/>
            </w:pPr>
            <w:r w:rsidRPr="00AB39A0">
              <w:t>1</w:t>
            </w:r>
          </w:p>
          <w:p w14:paraId="7949BFE8" w14:textId="77777777" w:rsidR="00754A2B" w:rsidRDefault="00E573D3" w:rsidP="002A39A7">
            <w:pPr>
              <w:pStyle w:val="CAR-TableText-Right"/>
            </w:pPr>
            <w:r w:rsidRPr="00AB39A0">
              <w:noBreakHyphen/>
            </w:r>
          </w:p>
          <w:p w14:paraId="05C9E641" w14:textId="2C8A752F" w:rsidR="00F06788" w:rsidRPr="00AB39A0" w:rsidRDefault="00F06788" w:rsidP="002A39A7">
            <w:pPr>
              <w:pStyle w:val="CAR-TableText-Right"/>
            </w:pPr>
            <w:r w:rsidRPr="00AB39A0">
              <w:noBreakHyphen/>
            </w:r>
          </w:p>
        </w:tc>
        <w:tc>
          <w:tcPr>
            <w:tcW w:w="1235" w:type="pct"/>
            <w:tcBorders>
              <w:top w:val="single" w:sz="2" w:space="0" w:color="000080"/>
            </w:tcBorders>
          </w:tcPr>
          <w:p w14:paraId="2D930430" w14:textId="6F5B3085" w:rsidR="002E303D" w:rsidRPr="00AB39A0" w:rsidRDefault="00C44375" w:rsidP="001129F5">
            <w:pPr>
              <w:pStyle w:val="CAR-TableText-Right"/>
            </w:pPr>
            <w:r w:rsidRPr="00AB39A0">
              <w:noBreakHyphen/>
            </w:r>
          </w:p>
          <w:p w14:paraId="7C145E3B" w14:textId="681B2F67" w:rsidR="002E303D" w:rsidRPr="00AB39A0" w:rsidRDefault="00C44375" w:rsidP="001129F5">
            <w:pPr>
              <w:pStyle w:val="CAR-TableText-Right"/>
            </w:pPr>
            <w:r w:rsidRPr="00AB39A0">
              <w:noBreakHyphen/>
            </w:r>
          </w:p>
          <w:p w14:paraId="346FF180" w14:textId="090CECD5" w:rsidR="002E303D" w:rsidRPr="00AB39A0" w:rsidRDefault="00C44375" w:rsidP="001129F5">
            <w:pPr>
              <w:pStyle w:val="CAR-TableText-Right"/>
            </w:pPr>
            <w:r w:rsidRPr="00AB39A0">
              <w:noBreakHyphen/>
            </w:r>
          </w:p>
        </w:tc>
      </w:tr>
      <w:tr w:rsidR="002E303D" w:rsidRPr="00AB39A0" w14:paraId="2501F96F" w14:textId="77777777" w:rsidTr="003B554F">
        <w:trPr>
          <w:cantSplit/>
        </w:trPr>
        <w:tc>
          <w:tcPr>
            <w:tcW w:w="2501" w:type="pct"/>
          </w:tcPr>
          <w:p w14:paraId="5314E670" w14:textId="097F5065" w:rsidR="002E303D" w:rsidRPr="00AB39A0" w:rsidRDefault="002E303D" w:rsidP="00883F98">
            <w:pPr>
              <w:pStyle w:val="CAR-TableText-Left"/>
            </w:pPr>
            <w:r w:rsidRPr="00AB39A0">
              <w:t>Matters dealt with</w:t>
            </w:r>
            <w:r w:rsidR="00494F86" w:rsidRPr="00AB39A0">
              <w:t xml:space="preserve"> — </w:t>
            </w:r>
            <w:r w:rsidRPr="00AB39A0">
              <w:t>orders issued</w:t>
            </w:r>
          </w:p>
        </w:tc>
        <w:tc>
          <w:tcPr>
            <w:tcW w:w="1264" w:type="pct"/>
          </w:tcPr>
          <w:p w14:paraId="63D930D3" w14:textId="1B360F29" w:rsidR="002E303D" w:rsidRPr="00AB39A0" w:rsidDel="00317C0C" w:rsidRDefault="00855CE7" w:rsidP="001129F5">
            <w:pPr>
              <w:pStyle w:val="CAR-TableText-Right"/>
            </w:pPr>
            <w:r w:rsidRPr="00AB39A0">
              <w:t>1</w:t>
            </w:r>
          </w:p>
        </w:tc>
        <w:tc>
          <w:tcPr>
            <w:tcW w:w="1235" w:type="pct"/>
          </w:tcPr>
          <w:p w14:paraId="1E32FC33" w14:textId="5177E968" w:rsidR="002E303D" w:rsidRPr="00AB39A0" w:rsidRDefault="00C44375" w:rsidP="001129F5">
            <w:pPr>
              <w:pStyle w:val="CAR-TableText-Right"/>
            </w:pPr>
            <w:r w:rsidRPr="00AB39A0">
              <w:noBreakHyphen/>
            </w:r>
          </w:p>
        </w:tc>
      </w:tr>
      <w:tr w:rsidR="002E303D" w:rsidRPr="00AB39A0" w14:paraId="19EC760D" w14:textId="77777777" w:rsidTr="003B554F">
        <w:trPr>
          <w:cantSplit/>
        </w:trPr>
        <w:tc>
          <w:tcPr>
            <w:tcW w:w="2501" w:type="pct"/>
          </w:tcPr>
          <w:p w14:paraId="57CAE70C" w14:textId="318524D5" w:rsidR="002E303D" w:rsidRPr="00AB39A0" w:rsidRDefault="002E303D" w:rsidP="00E573D3">
            <w:pPr>
              <w:pStyle w:val="CAR-TableText-Left"/>
            </w:pPr>
            <w:r w:rsidRPr="00AB39A0">
              <w:t xml:space="preserve">Uncompleted matters at </w:t>
            </w:r>
            <w:r w:rsidR="00E573D3">
              <w:t>28</w:t>
            </w:r>
            <w:r w:rsidRPr="00AB39A0">
              <w:t>/</w:t>
            </w:r>
            <w:r w:rsidR="00E573D3">
              <w:t>2</w:t>
            </w:r>
            <w:r w:rsidRPr="00AB39A0">
              <w:t>/1</w:t>
            </w:r>
            <w:r w:rsidR="00E573D3">
              <w:t>7</w:t>
            </w:r>
          </w:p>
        </w:tc>
        <w:tc>
          <w:tcPr>
            <w:tcW w:w="1264" w:type="pct"/>
          </w:tcPr>
          <w:p w14:paraId="1E0E9B64" w14:textId="04273784" w:rsidR="002E303D" w:rsidRPr="00AB39A0" w:rsidRDefault="00E573D3" w:rsidP="001129F5">
            <w:pPr>
              <w:pStyle w:val="CAR-TableText-Right"/>
            </w:pPr>
            <w:r w:rsidRPr="00AB39A0">
              <w:noBreakHyphen/>
            </w:r>
          </w:p>
        </w:tc>
        <w:tc>
          <w:tcPr>
            <w:tcW w:w="1235" w:type="pct"/>
          </w:tcPr>
          <w:p w14:paraId="316C119D" w14:textId="00A83A40" w:rsidR="002E303D" w:rsidRPr="00AB39A0" w:rsidRDefault="00C44375" w:rsidP="001129F5">
            <w:pPr>
              <w:pStyle w:val="CAR-TableText-Right"/>
            </w:pPr>
            <w:r w:rsidRPr="00AB39A0">
              <w:noBreakHyphen/>
            </w:r>
          </w:p>
        </w:tc>
      </w:tr>
    </w:tbl>
    <w:p w14:paraId="1F79852D" w14:textId="2095B9BD" w:rsidR="00FE27AB" w:rsidRPr="00AB39A0" w:rsidRDefault="00FE27AB" w:rsidP="004677CD">
      <w:pPr>
        <w:pStyle w:val="SingleParagraph"/>
      </w:pPr>
    </w:p>
    <w:p w14:paraId="13F6C885" w14:textId="77777777" w:rsidR="005B6C28" w:rsidRPr="00AB39A0" w:rsidRDefault="006516ED" w:rsidP="006E37E2">
      <w:pPr>
        <w:pStyle w:val="Heading2"/>
      </w:pPr>
      <w:bookmarkStart w:id="9" w:name="_Toc460850449"/>
      <w:r w:rsidRPr="00AB39A0">
        <w:lastRenderedPageBreak/>
        <w:t>Hearing days during the reporting year</w:t>
      </w:r>
      <w:bookmarkEnd w:id="9"/>
    </w:p>
    <w:p w14:paraId="7D77607E" w14:textId="77777777" w:rsidR="002E303D" w:rsidRPr="00AB39A0" w:rsidRDefault="002E303D" w:rsidP="0000696C">
      <w:pPr>
        <w:pStyle w:val="CAR-BodyText-Left"/>
        <w:jc w:val="both"/>
      </w:pPr>
      <w:r w:rsidRPr="00AB39A0">
        <w:t xml:space="preserve">The overview in the table below provides data on the number of days Board members were engaged in the hearing of applications. </w:t>
      </w:r>
    </w:p>
    <w:tbl>
      <w:tblPr>
        <w:tblW w:w="4883" w:type="pct"/>
        <w:tblInd w:w="108" w:type="dxa"/>
        <w:tblBorders>
          <w:top w:val="single" w:sz="2" w:space="0" w:color="000080"/>
          <w:bottom w:val="single" w:sz="2" w:space="0" w:color="000080"/>
          <w:insideH w:val="single" w:sz="2" w:space="0" w:color="000080"/>
        </w:tblBorders>
        <w:tblLook w:val="01E0" w:firstRow="1" w:lastRow="1" w:firstColumn="1" w:lastColumn="1" w:noHBand="0" w:noVBand="0"/>
      </w:tblPr>
      <w:tblGrid>
        <w:gridCol w:w="1275"/>
        <w:gridCol w:w="1616"/>
        <w:gridCol w:w="1617"/>
        <w:gridCol w:w="1617"/>
        <w:gridCol w:w="1617"/>
      </w:tblGrid>
      <w:tr w:rsidR="002E303D" w:rsidRPr="00AB39A0" w14:paraId="2715733E" w14:textId="77777777" w:rsidTr="004677CD">
        <w:trPr>
          <w:tblHeader/>
        </w:trPr>
        <w:tc>
          <w:tcPr>
            <w:tcW w:w="824" w:type="pct"/>
            <w:tcBorders>
              <w:top w:val="single" w:sz="2" w:space="0" w:color="000080"/>
              <w:bottom w:val="single" w:sz="2" w:space="0" w:color="000080"/>
            </w:tcBorders>
            <w:shd w:val="clear" w:color="auto" w:fill="F2F2F2" w:themeFill="background1" w:themeFillShade="F2"/>
            <w:vAlign w:val="center"/>
          </w:tcPr>
          <w:p w14:paraId="67BDBB3B" w14:textId="77777777" w:rsidR="002E303D" w:rsidRPr="00AB39A0" w:rsidRDefault="002E303D" w:rsidP="003B554F">
            <w:pPr>
              <w:pStyle w:val="CAR-TableColHead-Left"/>
            </w:pPr>
            <w:r w:rsidRPr="00AB39A0">
              <w:t>Activity</w:t>
            </w:r>
          </w:p>
        </w:tc>
        <w:tc>
          <w:tcPr>
            <w:tcW w:w="1044" w:type="pct"/>
            <w:tcBorders>
              <w:top w:val="single" w:sz="2" w:space="0" w:color="000080"/>
              <w:bottom w:val="single" w:sz="2" w:space="0" w:color="000080"/>
            </w:tcBorders>
            <w:shd w:val="clear" w:color="auto" w:fill="F2F2F2" w:themeFill="background1" w:themeFillShade="F2"/>
            <w:vAlign w:val="center"/>
          </w:tcPr>
          <w:p w14:paraId="74C4B134" w14:textId="4E4D7D50" w:rsidR="002E303D" w:rsidRPr="00AB39A0" w:rsidRDefault="002E303D" w:rsidP="00E573D3">
            <w:pPr>
              <w:pStyle w:val="CAR-TableColHead-Left"/>
            </w:pPr>
            <w:r w:rsidRPr="00AB39A0">
              <w:t xml:space="preserve">Auditors </w:t>
            </w:r>
            <w:r w:rsidR="002A39A7" w:rsidRPr="00AB39A0">
              <w:t>1</w:t>
            </w:r>
            <w:r w:rsidR="00E573D3">
              <w:t>6</w:t>
            </w:r>
            <w:r w:rsidR="003B554F" w:rsidRPr="00AB39A0">
              <w:t>–</w:t>
            </w:r>
            <w:r w:rsidRPr="00AB39A0">
              <w:t>1</w:t>
            </w:r>
            <w:r w:rsidR="00E573D3">
              <w:t>7</w:t>
            </w:r>
          </w:p>
        </w:tc>
        <w:tc>
          <w:tcPr>
            <w:tcW w:w="1044" w:type="pct"/>
            <w:tcBorders>
              <w:top w:val="single" w:sz="2" w:space="0" w:color="000080"/>
              <w:bottom w:val="single" w:sz="2" w:space="0" w:color="000080"/>
            </w:tcBorders>
            <w:shd w:val="clear" w:color="auto" w:fill="F2F2F2" w:themeFill="background1" w:themeFillShade="F2"/>
            <w:vAlign w:val="center"/>
          </w:tcPr>
          <w:p w14:paraId="38CF11E0" w14:textId="56ADC125" w:rsidR="002E303D" w:rsidRPr="00AB39A0" w:rsidRDefault="002E303D" w:rsidP="00E573D3">
            <w:pPr>
              <w:pStyle w:val="CAR-TableColHead-Left"/>
            </w:pPr>
            <w:r w:rsidRPr="00AB39A0">
              <w:t xml:space="preserve">Auditors </w:t>
            </w:r>
            <w:r w:rsidR="003B554F" w:rsidRPr="00AB39A0">
              <w:t>1</w:t>
            </w:r>
            <w:r w:rsidR="00E573D3">
              <w:t>5</w:t>
            </w:r>
            <w:r w:rsidR="003B554F" w:rsidRPr="00AB39A0">
              <w:t>–</w:t>
            </w:r>
            <w:r w:rsidRPr="00AB39A0">
              <w:t>1</w:t>
            </w:r>
            <w:r w:rsidR="00E573D3">
              <w:t>6</w:t>
            </w:r>
          </w:p>
        </w:tc>
        <w:tc>
          <w:tcPr>
            <w:tcW w:w="1044" w:type="pct"/>
            <w:tcBorders>
              <w:top w:val="single" w:sz="2" w:space="0" w:color="000080"/>
              <w:bottom w:val="single" w:sz="2" w:space="0" w:color="000080"/>
            </w:tcBorders>
            <w:shd w:val="clear" w:color="auto" w:fill="F2F2F2" w:themeFill="background1" w:themeFillShade="F2"/>
            <w:vAlign w:val="center"/>
          </w:tcPr>
          <w:p w14:paraId="7AED8D1F" w14:textId="08C19BC3" w:rsidR="002E303D" w:rsidRPr="00AB39A0" w:rsidRDefault="002E303D" w:rsidP="00E573D3">
            <w:pPr>
              <w:pStyle w:val="CAR-TableColHead-Left"/>
            </w:pPr>
            <w:r w:rsidRPr="00AB39A0">
              <w:t xml:space="preserve">Liquidators </w:t>
            </w:r>
            <w:r w:rsidR="003B554F" w:rsidRPr="00AB39A0">
              <w:t>1</w:t>
            </w:r>
            <w:r w:rsidR="00E573D3">
              <w:t>6</w:t>
            </w:r>
            <w:r w:rsidR="003B554F" w:rsidRPr="00AB39A0">
              <w:t>–</w:t>
            </w:r>
            <w:r w:rsidRPr="00AB39A0">
              <w:t>1</w:t>
            </w:r>
            <w:r w:rsidR="00E573D3">
              <w:t>7</w:t>
            </w:r>
          </w:p>
        </w:tc>
        <w:tc>
          <w:tcPr>
            <w:tcW w:w="1044" w:type="pct"/>
            <w:tcBorders>
              <w:top w:val="single" w:sz="2" w:space="0" w:color="000080"/>
              <w:bottom w:val="single" w:sz="2" w:space="0" w:color="000080"/>
            </w:tcBorders>
            <w:shd w:val="clear" w:color="auto" w:fill="F2F2F2" w:themeFill="background1" w:themeFillShade="F2"/>
            <w:vAlign w:val="center"/>
          </w:tcPr>
          <w:p w14:paraId="064BDACC" w14:textId="2D56B148" w:rsidR="002E303D" w:rsidRPr="00AB39A0" w:rsidRDefault="002E303D" w:rsidP="00E573D3">
            <w:pPr>
              <w:pStyle w:val="CAR-TableColHead-Left"/>
            </w:pPr>
            <w:r w:rsidRPr="00AB39A0">
              <w:t xml:space="preserve">Liquidators </w:t>
            </w:r>
            <w:r w:rsidR="003B554F" w:rsidRPr="00AB39A0">
              <w:t>1</w:t>
            </w:r>
            <w:r w:rsidR="00E573D3">
              <w:t>5</w:t>
            </w:r>
            <w:r w:rsidR="003B554F" w:rsidRPr="00AB39A0">
              <w:t>–</w:t>
            </w:r>
            <w:r w:rsidRPr="00AB39A0">
              <w:t>1</w:t>
            </w:r>
            <w:r w:rsidR="00E573D3">
              <w:t>6</w:t>
            </w:r>
          </w:p>
        </w:tc>
      </w:tr>
      <w:tr w:rsidR="002E303D" w:rsidRPr="00AB39A0" w14:paraId="379C5D37" w14:textId="77777777" w:rsidTr="004677CD">
        <w:tc>
          <w:tcPr>
            <w:tcW w:w="824" w:type="pct"/>
            <w:tcBorders>
              <w:top w:val="single" w:sz="2" w:space="0" w:color="000080"/>
            </w:tcBorders>
          </w:tcPr>
          <w:p w14:paraId="7CF2CEA9" w14:textId="77777777" w:rsidR="002E303D" w:rsidRPr="00AB39A0" w:rsidRDefault="002E303D" w:rsidP="001129F5">
            <w:pPr>
              <w:pStyle w:val="CAR-TableText-Left"/>
            </w:pPr>
            <w:r w:rsidRPr="00AB39A0">
              <w:t xml:space="preserve">Hearing days </w:t>
            </w:r>
          </w:p>
        </w:tc>
        <w:tc>
          <w:tcPr>
            <w:tcW w:w="1044" w:type="pct"/>
            <w:tcBorders>
              <w:top w:val="single" w:sz="2" w:space="0" w:color="000080"/>
            </w:tcBorders>
          </w:tcPr>
          <w:p w14:paraId="09EF31FE" w14:textId="234F33EC" w:rsidR="002E303D" w:rsidRPr="00AB39A0" w:rsidRDefault="004D2688" w:rsidP="001129F5">
            <w:pPr>
              <w:pStyle w:val="CAR-TableText-Left"/>
            </w:pPr>
            <w:r>
              <w:t>2</w:t>
            </w:r>
            <w:r w:rsidR="00E44A55">
              <w:t xml:space="preserve"> </w:t>
            </w:r>
            <w:r w:rsidR="00D76977" w:rsidRPr="00AB39A0">
              <w:t>perso</w:t>
            </w:r>
            <w:r w:rsidR="002E303D" w:rsidRPr="00AB39A0">
              <w:t>n days</w:t>
            </w:r>
          </w:p>
        </w:tc>
        <w:tc>
          <w:tcPr>
            <w:tcW w:w="1044" w:type="pct"/>
            <w:tcBorders>
              <w:top w:val="single" w:sz="2" w:space="0" w:color="000080"/>
            </w:tcBorders>
          </w:tcPr>
          <w:p w14:paraId="385D95D8" w14:textId="05C0631B" w:rsidR="002E303D" w:rsidRPr="00AB39A0" w:rsidRDefault="00E573D3" w:rsidP="001129F5">
            <w:pPr>
              <w:pStyle w:val="CAR-TableText-Left"/>
            </w:pPr>
            <w:r>
              <w:t>4</w:t>
            </w:r>
            <w:r w:rsidR="002E303D" w:rsidRPr="00AB39A0">
              <w:t xml:space="preserve"> </w:t>
            </w:r>
            <w:r w:rsidR="00D76977" w:rsidRPr="00AB39A0">
              <w:t>perso</w:t>
            </w:r>
            <w:r w:rsidR="002E303D" w:rsidRPr="00AB39A0">
              <w:t>n days</w:t>
            </w:r>
          </w:p>
        </w:tc>
        <w:tc>
          <w:tcPr>
            <w:tcW w:w="1044" w:type="pct"/>
            <w:tcBorders>
              <w:top w:val="single" w:sz="2" w:space="0" w:color="000080"/>
            </w:tcBorders>
          </w:tcPr>
          <w:p w14:paraId="794A5EA0" w14:textId="3BB3ADFE" w:rsidR="002E303D" w:rsidRPr="00AB39A0" w:rsidRDefault="00883F98" w:rsidP="00E52F9A">
            <w:pPr>
              <w:pStyle w:val="CAR-TableText-Left"/>
            </w:pPr>
            <w:r>
              <w:t>1</w:t>
            </w:r>
            <w:r w:rsidR="00E52F9A">
              <w:t>0</w:t>
            </w:r>
            <w:r w:rsidR="00DB291C" w:rsidRPr="00AB39A0">
              <w:t xml:space="preserve"> </w:t>
            </w:r>
            <w:r w:rsidR="00D76977" w:rsidRPr="00AB39A0">
              <w:t>perso</w:t>
            </w:r>
            <w:r w:rsidR="002E303D" w:rsidRPr="00AB39A0">
              <w:t>n days</w:t>
            </w:r>
          </w:p>
        </w:tc>
        <w:tc>
          <w:tcPr>
            <w:tcW w:w="1044" w:type="pct"/>
            <w:tcBorders>
              <w:top w:val="single" w:sz="2" w:space="0" w:color="000080"/>
            </w:tcBorders>
          </w:tcPr>
          <w:p w14:paraId="351D1431" w14:textId="18AE9261" w:rsidR="002E303D" w:rsidRPr="00AB39A0" w:rsidRDefault="00E573D3" w:rsidP="001129F5">
            <w:pPr>
              <w:pStyle w:val="CAR-TableText-Left"/>
            </w:pPr>
            <w:r>
              <w:t>26</w:t>
            </w:r>
            <w:r w:rsidR="002E303D" w:rsidRPr="00AB39A0">
              <w:t xml:space="preserve"> </w:t>
            </w:r>
            <w:r w:rsidR="00D76977" w:rsidRPr="00AB39A0">
              <w:t>perso</w:t>
            </w:r>
            <w:r w:rsidR="002E303D" w:rsidRPr="00AB39A0">
              <w:t>n days</w:t>
            </w:r>
          </w:p>
        </w:tc>
      </w:tr>
    </w:tbl>
    <w:p w14:paraId="04B0D06A" w14:textId="22890DD1" w:rsidR="005B6C28" w:rsidRDefault="002E303D" w:rsidP="0000696C">
      <w:pPr>
        <w:pStyle w:val="CAR-BodyText-Left"/>
        <w:spacing w:before="240"/>
        <w:jc w:val="both"/>
      </w:pPr>
      <w:r w:rsidRPr="00AB39A0">
        <w:t>In addition to attendance for formal hearing days</w:t>
      </w:r>
      <w:r w:rsidR="00296CEF">
        <w:t xml:space="preserve"> with respect to matters filed with the CADB</w:t>
      </w:r>
      <w:r w:rsidRPr="00AB39A0">
        <w:t xml:space="preserve">, </w:t>
      </w:r>
      <w:r w:rsidR="00E573D3">
        <w:t>CADB</w:t>
      </w:r>
      <w:r w:rsidRPr="00AB39A0">
        <w:t xml:space="preserve"> members must spend time preparing for hearings</w:t>
      </w:r>
      <w:r w:rsidR="00296CEF">
        <w:t>.</w:t>
      </w:r>
      <w:r w:rsidRPr="00AB39A0">
        <w:t xml:space="preserve"> </w:t>
      </w:r>
      <w:r w:rsidR="00296CEF">
        <w:t>This</w:t>
      </w:r>
      <w:r w:rsidRPr="00AB39A0">
        <w:t xml:space="preserve"> involves the review and analysis of pleadings and evidence. </w:t>
      </w:r>
      <w:r w:rsidR="00296CEF">
        <w:t>Costs incurred</w:t>
      </w:r>
      <w:r w:rsidRPr="00AB39A0">
        <w:t xml:space="preserve"> also </w:t>
      </w:r>
      <w:r w:rsidR="00296CEF">
        <w:t xml:space="preserve">encompass </w:t>
      </w:r>
      <w:r w:rsidRPr="00AB39A0">
        <w:t>travel time to hearing venues</w:t>
      </w:r>
      <w:r w:rsidR="00296CEF">
        <w:t>,</w:t>
      </w:r>
      <w:r w:rsidRPr="00AB39A0">
        <w:t xml:space="preserve"> preparation and review of </w:t>
      </w:r>
      <w:r w:rsidR="00296CEF">
        <w:t xml:space="preserve">detailed </w:t>
      </w:r>
      <w:r w:rsidR="002E29C4">
        <w:t xml:space="preserve">written </w:t>
      </w:r>
      <w:r w:rsidRPr="00AB39A0">
        <w:t>determinations,</w:t>
      </w:r>
      <w:r w:rsidR="002E29C4">
        <w:t xml:space="preserve"> </w:t>
      </w:r>
      <w:r w:rsidR="00296CEF">
        <w:t>and usually a</w:t>
      </w:r>
      <w:r w:rsidRPr="00AB39A0">
        <w:t xml:space="preserve"> subsequent </w:t>
      </w:r>
      <w:r w:rsidR="00296CEF">
        <w:t xml:space="preserve">hearing and </w:t>
      </w:r>
      <w:r w:rsidR="002E29C4" w:rsidRPr="00AB39A0">
        <w:t>decision</w:t>
      </w:r>
      <w:r w:rsidR="002E29C4">
        <w:t xml:space="preserve"> on sanction</w:t>
      </w:r>
      <w:r w:rsidR="002E29C4" w:rsidRPr="00AB39A0">
        <w:t xml:space="preserve"> </w:t>
      </w:r>
      <w:r w:rsidRPr="00AB39A0">
        <w:t xml:space="preserve">and </w:t>
      </w:r>
      <w:r w:rsidR="00296CEF">
        <w:t xml:space="preserve">appropriate </w:t>
      </w:r>
      <w:r w:rsidRPr="00AB39A0">
        <w:t xml:space="preserve">orders. </w:t>
      </w:r>
    </w:p>
    <w:p w14:paraId="3F553D35" w14:textId="48BCC2BD" w:rsidR="00296CEF" w:rsidRPr="00AB39A0" w:rsidRDefault="00296CEF" w:rsidP="0000696C">
      <w:pPr>
        <w:pStyle w:val="CAR-BodyText-Left"/>
        <w:spacing w:before="240"/>
        <w:jc w:val="both"/>
      </w:pPr>
      <w:r>
        <w:t xml:space="preserve">With </w:t>
      </w:r>
      <w:r w:rsidRPr="00AB39A0">
        <w:t xml:space="preserve">respect </w:t>
      </w:r>
      <w:r>
        <w:t>to any</w:t>
      </w:r>
      <w:r w:rsidRPr="00AB39A0">
        <w:t xml:space="preserve"> application that proceeds to a contested hearing, the Chairperson of the relevant Panel (who must either be the </w:t>
      </w:r>
      <w:r>
        <w:t>CADB</w:t>
      </w:r>
      <w:r w:rsidRPr="00AB39A0">
        <w:t xml:space="preserve"> Chairperson or Deputy Chairperson) plays the principal role in </w:t>
      </w:r>
      <w:r>
        <w:t>formulat</w:t>
      </w:r>
      <w:r w:rsidRPr="00AB39A0">
        <w:t xml:space="preserve">ing </w:t>
      </w:r>
      <w:r>
        <w:t>a written</w:t>
      </w:r>
      <w:r w:rsidRPr="00AB39A0">
        <w:t xml:space="preserve"> decision </w:t>
      </w:r>
      <w:r>
        <w:t>that includes</w:t>
      </w:r>
      <w:r w:rsidRPr="00AB39A0">
        <w:t xml:space="preserve"> supporting reasons</w:t>
      </w:r>
      <w:r>
        <w:t xml:space="preserve">. The process </w:t>
      </w:r>
      <w:r w:rsidRPr="00AB39A0">
        <w:t xml:space="preserve"> in</w:t>
      </w:r>
      <w:r>
        <w:t xml:space="preserve">cludes </w:t>
      </w:r>
      <w:r w:rsidRPr="00AB39A0">
        <w:t xml:space="preserve"> consultation with other Panel members. The Board Chairperson is responsible for conducting pre</w:t>
      </w:r>
      <w:r w:rsidRPr="00AB39A0">
        <w:noBreakHyphen/>
        <w:t xml:space="preserve">hearing conferences relating to all matters before </w:t>
      </w:r>
      <w:r>
        <w:t>CADB</w:t>
      </w:r>
      <w:r w:rsidRPr="00AB39A0">
        <w:t xml:space="preserve"> and </w:t>
      </w:r>
      <w:r>
        <w:t>has oversight of</w:t>
      </w:r>
      <w:r w:rsidRPr="00AB39A0">
        <w:t xml:space="preserve"> the general affairs of </w:t>
      </w:r>
      <w:r>
        <w:t>CADB</w:t>
      </w:r>
      <w:r w:rsidRPr="00AB39A0">
        <w:t xml:space="preserve">, </w:t>
      </w:r>
      <w:r>
        <w:t xml:space="preserve">supported by </w:t>
      </w:r>
      <w:r w:rsidRPr="00AB39A0">
        <w:t>the Deputy Chairperson as necessary.</w:t>
      </w:r>
      <w:r w:rsidR="004D2688">
        <w:t xml:space="preserve"> In addition to the conduct of substantive disciplinary hearings and managing the administrative business of the Board, there is often ancillary work to be undertaken incidental to matters already heard, such as taxation of costs orders made if parties so apply and managing appeals by the parties from a decision of the Board.</w:t>
      </w:r>
    </w:p>
    <w:p w14:paraId="1B2185B4" w14:textId="77777777" w:rsidR="005B6C28" w:rsidRPr="00AB39A0" w:rsidRDefault="006516ED" w:rsidP="0000696C">
      <w:pPr>
        <w:pStyle w:val="Heading2"/>
        <w:jc w:val="both"/>
      </w:pPr>
      <w:bookmarkStart w:id="10" w:name="_Toc460850450"/>
      <w:r w:rsidRPr="00AB39A0">
        <w:t>Results by nature of sanction</w:t>
      </w:r>
      <w:bookmarkEnd w:id="10"/>
    </w:p>
    <w:p w14:paraId="7013134B" w14:textId="1DAD6267" w:rsidR="005B6C28" w:rsidRPr="00AB39A0" w:rsidRDefault="002E303D" w:rsidP="0000696C">
      <w:pPr>
        <w:pStyle w:val="CAR-BodyText-Left"/>
        <w:jc w:val="both"/>
      </w:pPr>
      <w:r w:rsidRPr="00AB39A0">
        <w:t xml:space="preserve">The table below records the results of matters before </w:t>
      </w:r>
      <w:r w:rsidR="00E573D3">
        <w:t>CADB</w:t>
      </w:r>
      <w:r w:rsidRPr="00AB39A0">
        <w:t xml:space="preserve"> during the reporting year and the preceding five years, by nature of sanction. Undertakings required to be given may be in addition to other orders</w:t>
      </w:r>
      <w:r w:rsidR="00494F86" w:rsidRPr="00AB39A0">
        <w:t xml:space="preserve">. </w:t>
      </w:r>
      <w:r w:rsidRPr="00AB39A0">
        <w:t xml:space="preserve">The </w:t>
      </w:r>
      <w:r w:rsidR="00296CEF">
        <w:t>new matter</w:t>
      </w:r>
      <w:r w:rsidRPr="00AB39A0">
        <w:t xml:space="preserve"> </w:t>
      </w:r>
      <w:r w:rsidR="00296CEF">
        <w:t>filed with the</w:t>
      </w:r>
      <w:r w:rsidRPr="00AB39A0">
        <w:t xml:space="preserve"> </w:t>
      </w:r>
      <w:r w:rsidR="00E573D3">
        <w:t>CADB</w:t>
      </w:r>
      <w:r w:rsidRPr="00AB39A0">
        <w:t xml:space="preserve"> during the reporting year </w:t>
      </w:r>
      <w:r w:rsidR="006E057D">
        <w:t>is</w:t>
      </w:r>
      <w:r w:rsidRPr="00AB39A0">
        <w:t xml:space="preserve"> not reflected in this year</w:t>
      </w:r>
      <w:r w:rsidR="00C44375" w:rsidRPr="00AB39A0">
        <w:t>’</w:t>
      </w:r>
      <w:r w:rsidRPr="00AB39A0">
        <w:t>s report</w:t>
      </w:r>
      <w:r w:rsidR="00296CEF">
        <w:t xml:space="preserve"> as the matter had not been heard by 30 June 2017</w:t>
      </w:r>
      <w:r w:rsidRPr="00AB39A0">
        <w:t xml:space="preserve">. </w:t>
      </w:r>
    </w:p>
    <w:tbl>
      <w:tblPr>
        <w:tblW w:w="4883" w:type="pct"/>
        <w:tblInd w:w="108" w:type="dxa"/>
        <w:tblBorders>
          <w:top w:val="single" w:sz="2" w:space="0" w:color="000080"/>
          <w:bottom w:val="single" w:sz="2" w:space="0" w:color="000080"/>
        </w:tblBorders>
        <w:tblLook w:val="01E0" w:firstRow="1" w:lastRow="1" w:firstColumn="1" w:lastColumn="1" w:noHBand="0" w:noVBand="0"/>
      </w:tblPr>
      <w:tblGrid>
        <w:gridCol w:w="2291"/>
        <w:gridCol w:w="924"/>
        <w:gridCol w:w="929"/>
        <w:gridCol w:w="931"/>
        <w:gridCol w:w="931"/>
        <w:gridCol w:w="931"/>
        <w:gridCol w:w="805"/>
      </w:tblGrid>
      <w:tr w:rsidR="00E573D3" w:rsidRPr="00AB39A0" w14:paraId="4C267738" w14:textId="77777777" w:rsidTr="00A16753">
        <w:trPr>
          <w:tblHeader/>
        </w:trPr>
        <w:tc>
          <w:tcPr>
            <w:tcW w:w="1480" w:type="pct"/>
            <w:tcBorders>
              <w:top w:val="single" w:sz="2" w:space="0" w:color="000080"/>
              <w:bottom w:val="single" w:sz="2" w:space="0" w:color="000080"/>
            </w:tcBorders>
            <w:shd w:val="clear" w:color="auto" w:fill="F2F2F2" w:themeFill="background1" w:themeFillShade="F2"/>
          </w:tcPr>
          <w:p w14:paraId="26D81A56" w14:textId="77777777" w:rsidR="00E573D3" w:rsidRPr="00AB39A0" w:rsidRDefault="00E573D3">
            <w:pPr>
              <w:pStyle w:val="CAR-TableColHead-Left"/>
              <w:widowControl w:val="0"/>
            </w:pPr>
            <w:r w:rsidRPr="00AB39A0">
              <w:t>Results of application</w:t>
            </w:r>
          </w:p>
        </w:tc>
        <w:tc>
          <w:tcPr>
            <w:tcW w:w="597" w:type="pct"/>
            <w:tcBorders>
              <w:top w:val="single" w:sz="2" w:space="0" w:color="000080"/>
              <w:bottom w:val="single" w:sz="2" w:space="0" w:color="000080"/>
            </w:tcBorders>
            <w:shd w:val="clear" w:color="auto" w:fill="F2F2F2" w:themeFill="background1" w:themeFillShade="F2"/>
          </w:tcPr>
          <w:p w14:paraId="7C388953" w14:textId="0A6AB7D5" w:rsidR="00E573D3" w:rsidRPr="00AB39A0" w:rsidRDefault="00E573D3" w:rsidP="003B554F">
            <w:pPr>
              <w:pStyle w:val="CAR-TableColHead-Right"/>
              <w:keepNext w:val="0"/>
              <w:widowControl w:val="0"/>
            </w:pPr>
            <w:r w:rsidRPr="00AB39A0">
              <w:t>11–12</w:t>
            </w:r>
          </w:p>
        </w:tc>
        <w:tc>
          <w:tcPr>
            <w:tcW w:w="600" w:type="pct"/>
            <w:tcBorders>
              <w:top w:val="single" w:sz="2" w:space="0" w:color="000080"/>
              <w:bottom w:val="single" w:sz="2" w:space="0" w:color="000080"/>
            </w:tcBorders>
            <w:shd w:val="clear" w:color="auto" w:fill="F2F2F2" w:themeFill="background1" w:themeFillShade="F2"/>
          </w:tcPr>
          <w:p w14:paraId="19848B24" w14:textId="1B738472" w:rsidR="00E573D3" w:rsidRPr="00AB39A0" w:rsidRDefault="00E573D3">
            <w:pPr>
              <w:pStyle w:val="CAR-TableColHead-Right"/>
              <w:keepNext w:val="0"/>
              <w:widowControl w:val="0"/>
            </w:pPr>
            <w:r w:rsidRPr="00AB39A0">
              <w:t>12–13</w:t>
            </w:r>
          </w:p>
        </w:tc>
        <w:tc>
          <w:tcPr>
            <w:tcW w:w="601" w:type="pct"/>
            <w:tcBorders>
              <w:top w:val="single" w:sz="2" w:space="0" w:color="000080"/>
              <w:bottom w:val="single" w:sz="2" w:space="0" w:color="000080"/>
            </w:tcBorders>
            <w:shd w:val="clear" w:color="auto" w:fill="F2F2F2" w:themeFill="background1" w:themeFillShade="F2"/>
          </w:tcPr>
          <w:p w14:paraId="12A8B60E" w14:textId="3604C3E7" w:rsidR="00E573D3" w:rsidRPr="00AB39A0" w:rsidRDefault="00E573D3">
            <w:pPr>
              <w:pStyle w:val="CAR-TableColHead-Right"/>
              <w:keepNext w:val="0"/>
              <w:widowControl w:val="0"/>
            </w:pPr>
            <w:r w:rsidRPr="00AB39A0">
              <w:t>13–14</w:t>
            </w:r>
          </w:p>
        </w:tc>
        <w:tc>
          <w:tcPr>
            <w:tcW w:w="601" w:type="pct"/>
            <w:tcBorders>
              <w:top w:val="single" w:sz="2" w:space="0" w:color="000080"/>
              <w:bottom w:val="single" w:sz="2" w:space="0" w:color="000080"/>
            </w:tcBorders>
            <w:shd w:val="clear" w:color="auto" w:fill="F2F2F2" w:themeFill="background1" w:themeFillShade="F2"/>
          </w:tcPr>
          <w:p w14:paraId="0AD56630" w14:textId="6F67B56F" w:rsidR="00E573D3" w:rsidRPr="00AB39A0" w:rsidRDefault="00E573D3">
            <w:pPr>
              <w:pStyle w:val="CAR-TableColHead-Right"/>
              <w:keepNext w:val="0"/>
              <w:widowControl w:val="0"/>
            </w:pPr>
            <w:r w:rsidRPr="00AB39A0">
              <w:t>14–15</w:t>
            </w:r>
          </w:p>
        </w:tc>
        <w:tc>
          <w:tcPr>
            <w:tcW w:w="601" w:type="pct"/>
            <w:tcBorders>
              <w:top w:val="single" w:sz="2" w:space="0" w:color="000080"/>
              <w:bottom w:val="single" w:sz="2" w:space="0" w:color="000080"/>
            </w:tcBorders>
            <w:shd w:val="clear" w:color="auto" w:fill="F2F2F2" w:themeFill="background1" w:themeFillShade="F2"/>
          </w:tcPr>
          <w:p w14:paraId="0C40A3E3" w14:textId="6D051A8C" w:rsidR="00E573D3" w:rsidRPr="00AB39A0" w:rsidRDefault="00E573D3">
            <w:pPr>
              <w:pStyle w:val="CAR-TableColHead-Right"/>
              <w:keepNext w:val="0"/>
              <w:widowControl w:val="0"/>
            </w:pPr>
            <w:r w:rsidRPr="00AB39A0">
              <w:t>1</w:t>
            </w:r>
            <w:r>
              <w:t>5</w:t>
            </w:r>
            <w:r w:rsidRPr="00AB39A0">
              <w:t>–1</w:t>
            </w:r>
            <w:r>
              <w:t>6</w:t>
            </w:r>
          </w:p>
        </w:tc>
        <w:tc>
          <w:tcPr>
            <w:tcW w:w="520" w:type="pct"/>
            <w:tcBorders>
              <w:top w:val="single" w:sz="2" w:space="0" w:color="000080"/>
              <w:bottom w:val="single" w:sz="2" w:space="0" w:color="000080"/>
            </w:tcBorders>
            <w:shd w:val="clear" w:color="auto" w:fill="F2F2F2" w:themeFill="background1" w:themeFillShade="F2"/>
          </w:tcPr>
          <w:p w14:paraId="4059B2A0" w14:textId="4755AAD2" w:rsidR="00E573D3" w:rsidRPr="00AB39A0" w:rsidRDefault="00E573D3" w:rsidP="00E573D3">
            <w:pPr>
              <w:pStyle w:val="CAR-TableColHead-Right"/>
              <w:keepNext w:val="0"/>
              <w:widowControl w:val="0"/>
            </w:pPr>
            <w:r w:rsidRPr="00AB39A0">
              <w:t>1</w:t>
            </w:r>
            <w:r>
              <w:t>6</w:t>
            </w:r>
            <w:r w:rsidRPr="00AB39A0">
              <w:t>–1</w:t>
            </w:r>
            <w:r>
              <w:t>7</w:t>
            </w:r>
          </w:p>
        </w:tc>
      </w:tr>
      <w:tr w:rsidR="00E573D3" w:rsidRPr="00AB39A0" w14:paraId="3824DDDE" w14:textId="77777777" w:rsidTr="00A16753">
        <w:tc>
          <w:tcPr>
            <w:tcW w:w="1480" w:type="pct"/>
            <w:tcBorders>
              <w:top w:val="single" w:sz="2" w:space="0" w:color="000080"/>
            </w:tcBorders>
          </w:tcPr>
          <w:p w14:paraId="7AB88A0A" w14:textId="77777777" w:rsidR="00E573D3" w:rsidRPr="00AB39A0" w:rsidRDefault="00E573D3">
            <w:pPr>
              <w:pStyle w:val="CAR-TableText-Left"/>
              <w:widowControl w:val="0"/>
            </w:pPr>
            <w:r w:rsidRPr="00AB39A0">
              <w:t>Registration cancelled</w:t>
            </w:r>
          </w:p>
        </w:tc>
        <w:tc>
          <w:tcPr>
            <w:tcW w:w="597" w:type="pct"/>
            <w:tcBorders>
              <w:top w:val="single" w:sz="2" w:space="0" w:color="000080"/>
            </w:tcBorders>
          </w:tcPr>
          <w:p w14:paraId="342510F7" w14:textId="454FCB63" w:rsidR="00E573D3" w:rsidRPr="00AB39A0" w:rsidRDefault="00E573D3">
            <w:pPr>
              <w:pStyle w:val="CAR-TableText-Right"/>
              <w:widowControl w:val="0"/>
            </w:pPr>
            <w:r w:rsidRPr="00AB39A0">
              <w:t>1</w:t>
            </w:r>
          </w:p>
        </w:tc>
        <w:tc>
          <w:tcPr>
            <w:tcW w:w="600" w:type="pct"/>
            <w:tcBorders>
              <w:top w:val="single" w:sz="2" w:space="0" w:color="000080"/>
            </w:tcBorders>
          </w:tcPr>
          <w:p w14:paraId="39AFCBDA" w14:textId="5901AEC9" w:rsidR="00E573D3" w:rsidRPr="00AB39A0" w:rsidRDefault="00E573D3">
            <w:pPr>
              <w:pStyle w:val="CAR-TableText-Right"/>
              <w:widowControl w:val="0"/>
            </w:pPr>
            <w:r w:rsidRPr="00AB39A0">
              <w:t>1</w:t>
            </w:r>
          </w:p>
        </w:tc>
        <w:tc>
          <w:tcPr>
            <w:tcW w:w="601" w:type="pct"/>
            <w:tcBorders>
              <w:top w:val="single" w:sz="2" w:space="0" w:color="000080"/>
            </w:tcBorders>
          </w:tcPr>
          <w:p w14:paraId="238AC65D" w14:textId="4B9848A5" w:rsidR="00E573D3" w:rsidRPr="00AB39A0" w:rsidRDefault="00E573D3">
            <w:pPr>
              <w:pStyle w:val="CAR-TableText-Right"/>
              <w:widowControl w:val="0"/>
            </w:pPr>
            <w:r w:rsidRPr="00AB39A0">
              <w:t>3</w:t>
            </w:r>
          </w:p>
        </w:tc>
        <w:tc>
          <w:tcPr>
            <w:tcW w:w="601" w:type="pct"/>
            <w:tcBorders>
              <w:top w:val="single" w:sz="2" w:space="0" w:color="000080"/>
            </w:tcBorders>
          </w:tcPr>
          <w:p w14:paraId="105E672E" w14:textId="0E4717B5" w:rsidR="00E573D3" w:rsidRPr="00AB39A0" w:rsidRDefault="00E573D3">
            <w:pPr>
              <w:pStyle w:val="CAR-TableText-Right"/>
              <w:widowControl w:val="0"/>
            </w:pPr>
            <w:r w:rsidRPr="00AB39A0">
              <w:rPr>
                <w:color w:val="000000"/>
              </w:rPr>
              <w:noBreakHyphen/>
            </w:r>
          </w:p>
        </w:tc>
        <w:tc>
          <w:tcPr>
            <w:tcW w:w="601" w:type="pct"/>
            <w:tcBorders>
              <w:top w:val="single" w:sz="2" w:space="0" w:color="000080"/>
            </w:tcBorders>
          </w:tcPr>
          <w:p w14:paraId="5CCF57B7" w14:textId="3D019B3A" w:rsidR="00E573D3" w:rsidRPr="00AB39A0" w:rsidRDefault="00E573D3">
            <w:pPr>
              <w:pStyle w:val="CAR-TableText-Right"/>
              <w:widowControl w:val="0"/>
            </w:pPr>
            <w:r>
              <w:rPr>
                <w:color w:val="000000"/>
              </w:rPr>
              <w:t>1</w:t>
            </w:r>
          </w:p>
        </w:tc>
        <w:tc>
          <w:tcPr>
            <w:tcW w:w="520" w:type="pct"/>
            <w:tcBorders>
              <w:top w:val="single" w:sz="2" w:space="0" w:color="000080"/>
            </w:tcBorders>
          </w:tcPr>
          <w:p w14:paraId="2795C7F6" w14:textId="10CA8649" w:rsidR="00E573D3" w:rsidRPr="00AB39A0" w:rsidRDefault="00883F98">
            <w:pPr>
              <w:pStyle w:val="CAR-TableText-Right"/>
              <w:widowControl w:val="0"/>
              <w:rPr>
                <w:color w:val="000000"/>
              </w:rPr>
            </w:pPr>
            <w:r>
              <w:rPr>
                <w:color w:val="000000"/>
              </w:rPr>
              <w:t>-</w:t>
            </w:r>
          </w:p>
        </w:tc>
      </w:tr>
      <w:tr w:rsidR="00E573D3" w:rsidRPr="00AB39A0" w14:paraId="773772D4" w14:textId="77777777" w:rsidTr="00A16753">
        <w:tc>
          <w:tcPr>
            <w:tcW w:w="1480" w:type="pct"/>
          </w:tcPr>
          <w:p w14:paraId="79605BA5" w14:textId="77777777" w:rsidR="00E573D3" w:rsidRPr="00AB39A0" w:rsidRDefault="00E573D3">
            <w:pPr>
              <w:pStyle w:val="CAR-TableText-Left"/>
              <w:widowControl w:val="0"/>
              <w:rPr>
                <w:color w:val="000000"/>
              </w:rPr>
            </w:pPr>
            <w:r w:rsidRPr="00AB39A0">
              <w:t>Registration suspended</w:t>
            </w:r>
          </w:p>
        </w:tc>
        <w:tc>
          <w:tcPr>
            <w:tcW w:w="597" w:type="pct"/>
          </w:tcPr>
          <w:p w14:paraId="1F67FDB1" w14:textId="5DD7A0D5" w:rsidR="00E573D3" w:rsidRPr="00AB39A0" w:rsidRDefault="00E573D3">
            <w:pPr>
              <w:pStyle w:val="CAR-TableText-Right"/>
              <w:widowControl w:val="0"/>
            </w:pPr>
            <w:r w:rsidRPr="00AB39A0">
              <w:noBreakHyphen/>
            </w:r>
          </w:p>
        </w:tc>
        <w:tc>
          <w:tcPr>
            <w:tcW w:w="600" w:type="pct"/>
          </w:tcPr>
          <w:p w14:paraId="45437E8E" w14:textId="641103D2" w:rsidR="00E573D3" w:rsidRPr="00AB39A0" w:rsidRDefault="00E573D3">
            <w:pPr>
              <w:pStyle w:val="CAR-TableText-Right"/>
              <w:widowControl w:val="0"/>
            </w:pPr>
            <w:r w:rsidRPr="00AB39A0">
              <w:noBreakHyphen/>
            </w:r>
          </w:p>
        </w:tc>
        <w:tc>
          <w:tcPr>
            <w:tcW w:w="601" w:type="pct"/>
          </w:tcPr>
          <w:p w14:paraId="7E7584DF" w14:textId="6E486D5F" w:rsidR="00E573D3" w:rsidRPr="00AB39A0" w:rsidRDefault="00E573D3">
            <w:pPr>
              <w:pStyle w:val="CAR-TableText-Right"/>
              <w:widowControl w:val="0"/>
            </w:pPr>
            <w:r w:rsidRPr="00AB39A0">
              <w:t>3</w:t>
            </w:r>
          </w:p>
        </w:tc>
        <w:tc>
          <w:tcPr>
            <w:tcW w:w="601" w:type="pct"/>
          </w:tcPr>
          <w:p w14:paraId="3DFAA4F9" w14:textId="5D690BF9" w:rsidR="00E573D3" w:rsidRPr="00AB39A0" w:rsidRDefault="00E573D3">
            <w:pPr>
              <w:pStyle w:val="CAR-TableText-Right"/>
              <w:widowControl w:val="0"/>
            </w:pPr>
            <w:r w:rsidRPr="00AB39A0">
              <w:rPr>
                <w:color w:val="000000"/>
              </w:rPr>
              <w:t>1</w:t>
            </w:r>
          </w:p>
        </w:tc>
        <w:tc>
          <w:tcPr>
            <w:tcW w:w="601" w:type="pct"/>
          </w:tcPr>
          <w:p w14:paraId="50276150" w14:textId="0A1A43C8" w:rsidR="00E573D3" w:rsidRPr="00AB39A0" w:rsidRDefault="00E573D3">
            <w:pPr>
              <w:pStyle w:val="CAR-TableText-Right"/>
              <w:widowControl w:val="0"/>
            </w:pPr>
            <w:r>
              <w:rPr>
                <w:color w:val="000000"/>
              </w:rPr>
              <w:t>1</w:t>
            </w:r>
          </w:p>
        </w:tc>
        <w:tc>
          <w:tcPr>
            <w:tcW w:w="520" w:type="pct"/>
          </w:tcPr>
          <w:p w14:paraId="2B8A6452" w14:textId="448E5CC9" w:rsidR="00E573D3" w:rsidRPr="00AB39A0" w:rsidRDefault="00883F98">
            <w:pPr>
              <w:pStyle w:val="CAR-TableText-Right"/>
              <w:widowControl w:val="0"/>
              <w:rPr>
                <w:color w:val="000000"/>
              </w:rPr>
            </w:pPr>
            <w:r>
              <w:rPr>
                <w:color w:val="000000"/>
              </w:rPr>
              <w:t>1</w:t>
            </w:r>
          </w:p>
        </w:tc>
      </w:tr>
      <w:tr w:rsidR="00E573D3" w:rsidRPr="00AB39A0" w14:paraId="339C659E" w14:textId="77777777" w:rsidTr="00A16753">
        <w:tc>
          <w:tcPr>
            <w:tcW w:w="1480" w:type="pct"/>
          </w:tcPr>
          <w:p w14:paraId="253D3570" w14:textId="77777777" w:rsidR="00E573D3" w:rsidRPr="00AB39A0" w:rsidRDefault="00E573D3">
            <w:pPr>
              <w:pStyle w:val="CAR-TableText-Left"/>
              <w:widowControl w:val="0"/>
            </w:pPr>
            <w:r w:rsidRPr="00AB39A0">
              <w:t>Admonition</w:t>
            </w:r>
          </w:p>
        </w:tc>
        <w:tc>
          <w:tcPr>
            <w:tcW w:w="597" w:type="pct"/>
          </w:tcPr>
          <w:p w14:paraId="7BD92344" w14:textId="1FE4ED5E" w:rsidR="00E573D3" w:rsidRPr="00AB39A0" w:rsidRDefault="00E573D3">
            <w:pPr>
              <w:pStyle w:val="CAR-TableText-Right"/>
              <w:widowControl w:val="0"/>
            </w:pPr>
            <w:r w:rsidRPr="00AB39A0">
              <w:noBreakHyphen/>
            </w:r>
          </w:p>
        </w:tc>
        <w:tc>
          <w:tcPr>
            <w:tcW w:w="600" w:type="pct"/>
          </w:tcPr>
          <w:p w14:paraId="3D818862" w14:textId="52387A15" w:rsidR="00E573D3" w:rsidRPr="00AB39A0" w:rsidRDefault="00E573D3">
            <w:pPr>
              <w:pStyle w:val="CAR-TableText-Right"/>
              <w:widowControl w:val="0"/>
            </w:pPr>
            <w:r w:rsidRPr="00AB39A0">
              <w:noBreakHyphen/>
            </w:r>
          </w:p>
        </w:tc>
        <w:tc>
          <w:tcPr>
            <w:tcW w:w="601" w:type="pct"/>
          </w:tcPr>
          <w:p w14:paraId="64F77078" w14:textId="1A1A8D43" w:rsidR="00E573D3" w:rsidRPr="00AB39A0" w:rsidRDefault="00E573D3">
            <w:pPr>
              <w:pStyle w:val="CAR-TableText-Right"/>
              <w:widowControl w:val="0"/>
            </w:pPr>
            <w:r w:rsidRPr="00AB39A0">
              <w:noBreakHyphen/>
            </w:r>
          </w:p>
        </w:tc>
        <w:tc>
          <w:tcPr>
            <w:tcW w:w="601" w:type="pct"/>
          </w:tcPr>
          <w:p w14:paraId="7F7D7A80" w14:textId="21E99982" w:rsidR="00E573D3" w:rsidRPr="00AB39A0" w:rsidRDefault="00E573D3">
            <w:pPr>
              <w:pStyle w:val="CAR-TableText-Right"/>
              <w:widowControl w:val="0"/>
            </w:pPr>
            <w:r w:rsidRPr="00AB39A0">
              <w:rPr>
                <w:color w:val="000000"/>
              </w:rPr>
              <w:t>1</w:t>
            </w:r>
          </w:p>
        </w:tc>
        <w:tc>
          <w:tcPr>
            <w:tcW w:w="601" w:type="pct"/>
          </w:tcPr>
          <w:p w14:paraId="021FC680" w14:textId="7DFE7489" w:rsidR="00E573D3" w:rsidRPr="00AB39A0" w:rsidRDefault="00E573D3">
            <w:pPr>
              <w:pStyle w:val="CAR-TableText-Right"/>
              <w:widowControl w:val="0"/>
            </w:pPr>
            <w:r w:rsidRPr="00AB39A0">
              <w:rPr>
                <w:color w:val="000000"/>
              </w:rPr>
              <w:noBreakHyphen/>
            </w:r>
          </w:p>
        </w:tc>
        <w:tc>
          <w:tcPr>
            <w:tcW w:w="520" w:type="pct"/>
          </w:tcPr>
          <w:p w14:paraId="14FC718A" w14:textId="248A62B0" w:rsidR="00E573D3" w:rsidRPr="00AB39A0" w:rsidRDefault="00883F98">
            <w:pPr>
              <w:pStyle w:val="CAR-TableText-Right"/>
              <w:widowControl w:val="0"/>
              <w:rPr>
                <w:color w:val="000000"/>
              </w:rPr>
            </w:pPr>
            <w:r>
              <w:rPr>
                <w:color w:val="000000"/>
              </w:rPr>
              <w:t>-</w:t>
            </w:r>
          </w:p>
        </w:tc>
      </w:tr>
      <w:tr w:rsidR="00E573D3" w:rsidRPr="00AB39A0" w14:paraId="50BC8CFF" w14:textId="77777777" w:rsidTr="00A16753">
        <w:tc>
          <w:tcPr>
            <w:tcW w:w="1480" w:type="pct"/>
          </w:tcPr>
          <w:p w14:paraId="11F337DE" w14:textId="77777777" w:rsidR="00E573D3" w:rsidRPr="00AB39A0" w:rsidRDefault="00E573D3">
            <w:pPr>
              <w:pStyle w:val="CAR-TableText-Left"/>
              <w:widowControl w:val="0"/>
            </w:pPr>
            <w:r w:rsidRPr="00AB39A0">
              <w:t>Reprimand</w:t>
            </w:r>
          </w:p>
        </w:tc>
        <w:tc>
          <w:tcPr>
            <w:tcW w:w="597" w:type="pct"/>
          </w:tcPr>
          <w:p w14:paraId="0994691F" w14:textId="45D9F590" w:rsidR="00E573D3" w:rsidRPr="00AB39A0" w:rsidRDefault="00E573D3">
            <w:pPr>
              <w:pStyle w:val="CAR-TableText-Right"/>
              <w:widowControl w:val="0"/>
            </w:pPr>
            <w:r w:rsidRPr="00AB39A0">
              <w:noBreakHyphen/>
            </w:r>
          </w:p>
        </w:tc>
        <w:tc>
          <w:tcPr>
            <w:tcW w:w="600" w:type="pct"/>
          </w:tcPr>
          <w:p w14:paraId="709E560E" w14:textId="22CDBB9B" w:rsidR="00E573D3" w:rsidRPr="00AB39A0" w:rsidRDefault="00E573D3">
            <w:pPr>
              <w:pStyle w:val="CAR-TableText-Right"/>
              <w:widowControl w:val="0"/>
            </w:pPr>
            <w:r w:rsidRPr="00AB39A0">
              <w:noBreakHyphen/>
            </w:r>
          </w:p>
        </w:tc>
        <w:tc>
          <w:tcPr>
            <w:tcW w:w="601" w:type="pct"/>
          </w:tcPr>
          <w:p w14:paraId="11F34ACD" w14:textId="0A2D637A" w:rsidR="00E573D3" w:rsidRPr="00AB39A0" w:rsidRDefault="00E573D3">
            <w:pPr>
              <w:pStyle w:val="CAR-TableText-Right"/>
              <w:widowControl w:val="0"/>
            </w:pPr>
            <w:r w:rsidRPr="00AB39A0">
              <w:noBreakHyphen/>
            </w:r>
          </w:p>
        </w:tc>
        <w:tc>
          <w:tcPr>
            <w:tcW w:w="601" w:type="pct"/>
          </w:tcPr>
          <w:p w14:paraId="013D3461" w14:textId="6BA4AB10" w:rsidR="00E573D3" w:rsidRPr="00AB39A0" w:rsidRDefault="00E573D3">
            <w:pPr>
              <w:pStyle w:val="CAR-TableText-Right"/>
              <w:widowControl w:val="0"/>
            </w:pPr>
            <w:r w:rsidRPr="00AB39A0">
              <w:rPr>
                <w:color w:val="000000"/>
              </w:rPr>
              <w:noBreakHyphen/>
            </w:r>
          </w:p>
        </w:tc>
        <w:tc>
          <w:tcPr>
            <w:tcW w:w="601" w:type="pct"/>
          </w:tcPr>
          <w:p w14:paraId="0C758E2D" w14:textId="62C8EDFE" w:rsidR="00E573D3" w:rsidRPr="00AB39A0" w:rsidRDefault="00E573D3">
            <w:pPr>
              <w:pStyle w:val="CAR-TableText-Right"/>
              <w:widowControl w:val="0"/>
            </w:pPr>
            <w:r w:rsidRPr="00AB39A0">
              <w:rPr>
                <w:color w:val="000000"/>
              </w:rPr>
              <w:noBreakHyphen/>
            </w:r>
          </w:p>
        </w:tc>
        <w:tc>
          <w:tcPr>
            <w:tcW w:w="520" w:type="pct"/>
          </w:tcPr>
          <w:p w14:paraId="64D4BF52" w14:textId="6BF8C158" w:rsidR="00E573D3" w:rsidRPr="00AB39A0" w:rsidRDefault="00883F98">
            <w:pPr>
              <w:pStyle w:val="CAR-TableText-Right"/>
              <w:widowControl w:val="0"/>
              <w:rPr>
                <w:color w:val="000000"/>
              </w:rPr>
            </w:pPr>
            <w:r>
              <w:rPr>
                <w:color w:val="000000"/>
              </w:rPr>
              <w:t>-</w:t>
            </w:r>
          </w:p>
        </w:tc>
      </w:tr>
      <w:tr w:rsidR="00E573D3" w:rsidRPr="00AB39A0" w14:paraId="2A04947F" w14:textId="77777777" w:rsidTr="00A16753">
        <w:tc>
          <w:tcPr>
            <w:tcW w:w="1480" w:type="pct"/>
          </w:tcPr>
          <w:p w14:paraId="6C79F52A" w14:textId="77777777" w:rsidR="00E573D3" w:rsidRPr="00AB39A0" w:rsidRDefault="00E573D3">
            <w:pPr>
              <w:pStyle w:val="CAR-TableText-Left"/>
              <w:widowControl w:val="0"/>
            </w:pPr>
            <w:r w:rsidRPr="00AB39A0">
              <w:t>Undertakings required to be given</w:t>
            </w:r>
          </w:p>
        </w:tc>
        <w:tc>
          <w:tcPr>
            <w:tcW w:w="597" w:type="pct"/>
          </w:tcPr>
          <w:p w14:paraId="74464E29" w14:textId="456BDCAE" w:rsidR="00E573D3" w:rsidRPr="00AB39A0" w:rsidRDefault="00E573D3">
            <w:pPr>
              <w:pStyle w:val="CAR-TableText-Right"/>
              <w:widowControl w:val="0"/>
            </w:pPr>
            <w:r w:rsidRPr="00AB39A0">
              <w:noBreakHyphen/>
            </w:r>
          </w:p>
        </w:tc>
        <w:tc>
          <w:tcPr>
            <w:tcW w:w="600" w:type="pct"/>
          </w:tcPr>
          <w:p w14:paraId="253F8FEA" w14:textId="07CCEA44" w:rsidR="00E573D3" w:rsidRPr="00AB39A0" w:rsidRDefault="00E573D3">
            <w:pPr>
              <w:pStyle w:val="CAR-TableText-Right"/>
              <w:widowControl w:val="0"/>
            </w:pPr>
            <w:r w:rsidRPr="00AB39A0">
              <w:noBreakHyphen/>
            </w:r>
          </w:p>
        </w:tc>
        <w:tc>
          <w:tcPr>
            <w:tcW w:w="601" w:type="pct"/>
          </w:tcPr>
          <w:p w14:paraId="5B3A8A03" w14:textId="594C4894" w:rsidR="00E573D3" w:rsidRPr="00AB39A0" w:rsidRDefault="00E573D3">
            <w:pPr>
              <w:pStyle w:val="CAR-TableText-Right"/>
              <w:widowControl w:val="0"/>
            </w:pPr>
            <w:r w:rsidRPr="00AB39A0">
              <w:t>2</w:t>
            </w:r>
          </w:p>
        </w:tc>
        <w:tc>
          <w:tcPr>
            <w:tcW w:w="601" w:type="pct"/>
          </w:tcPr>
          <w:p w14:paraId="74EAECB1" w14:textId="4F560618" w:rsidR="00E573D3" w:rsidRPr="00AB39A0" w:rsidRDefault="00E573D3">
            <w:pPr>
              <w:pStyle w:val="CAR-TableText-Right"/>
              <w:widowControl w:val="0"/>
            </w:pPr>
            <w:r w:rsidRPr="00AB39A0">
              <w:rPr>
                <w:color w:val="000000"/>
              </w:rPr>
              <w:t>1</w:t>
            </w:r>
          </w:p>
        </w:tc>
        <w:tc>
          <w:tcPr>
            <w:tcW w:w="601" w:type="pct"/>
          </w:tcPr>
          <w:p w14:paraId="5B2758AA" w14:textId="2768067A" w:rsidR="00E573D3" w:rsidRPr="00AB39A0" w:rsidRDefault="00E573D3">
            <w:pPr>
              <w:pStyle w:val="CAR-TableText-Right"/>
              <w:widowControl w:val="0"/>
            </w:pPr>
            <w:r>
              <w:rPr>
                <w:color w:val="000000"/>
              </w:rPr>
              <w:t>1</w:t>
            </w:r>
          </w:p>
        </w:tc>
        <w:tc>
          <w:tcPr>
            <w:tcW w:w="520" w:type="pct"/>
          </w:tcPr>
          <w:p w14:paraId="2CA75214" w14:textId="19D14427" w:rsidR="00E573D3" w:rsidRPr="00AB39A0" w:rsidRDefault="00F36A54">
            <w:pPr>
              <w:pStyle w:val="CAR-TableText-Right"/>
              <w:widowControl w:val="0"/>
              <w:rPr>
                <w:color w:val="000000"/>
              </w:rPr>
            </w:pPr>
            <w:r>
              <w:rPr>
                <w:color w:val="000000"/>
              </w:rPr>
              <w:t>1</w:t>
            </w:r>
          </w:p>
        </w:tc>
      </w:tr>
      <w:tr w:rsidR="00E573D3" w:rsidRPr="00AB39A0" w14:paraId="39213D7A" w14:textId="77777777" w:rsidTr="00A16753">
        <w:tc>
          <w:tcPr>
            <w:tcW w:w="1480" w:type="pct"/>
          </w:tcPr>
          <w:p w14:paraId="0CC18DB4" w14:textId="77777777" w:rsidR="00E573D3" w:rsidRPr="00AB39A0" w:rsidRDefault="00E573D3">
            <w:pPr>
              <w:pStyle w:val="CAR-TableText-Left"/>
              <w:widowControl w:val="0"/>
            </w:pPr>
            <w:r w:rsidRPr="00AB39A0">
              <w:t>Dismissed</w:t>
            </w:r>
          </w:p>
        </w:tc>
        <w:tc>
          <w:tcPr>
            <w:tcW w:w="597" w:type="pct"/>
          </w:tcPr>
          <w:p w14:paraId="2DDED94F" w14:textId="49B47BA5" w:rsidR="00E573D3" w:rsidRPr="00AB39A0" w:rsidRDefault="00E573D3">
            <w:pPr>
              <w:pStyle w:val="CAR-TableText-Right"/>
              <w:widowControl w:val="0"/>
            </w:pPr>
            <w:r w:rsidRPr="00AB39A0">
              <w:noBreakHyphen/>
            </w:r>
          </w:p>
        </w:tc>
        <w:tc>
          <w:tcPr>
            <w:tcW w:w="600" w:type="pct"/>
          </w:tcPr>
          <w:p w14:paraId="73D74A7E" w14:textId="7103C359" w:rsidR="00E573D3" w:rsidRPr="00AB39A0" w:rsidRDefault="00E573D3">
            <w:pPr>
              <w:pStyle w:val="CAR-TableText-Right"/>
              <w:widowControl w:val="0"/>
            </w:pPr>
            <w:r w:rsidRPr="00AB39A0">
              <w:noBreakHyphen/>
            </w:r>
          </w:p>
        </w:tc>
        <w:tc>
          <w:tcPr>
            <w:tcW w:w="601" w:type="pct"/>
          </w:tcPr>
          <w:p w14:paraId="39029CAA" w14:textId="5A0EAD36" w:rsidR="00E573D3" w:rsidRPr="00AB39A0" w:rsidRDefault="00E573D3">
            <w:pPr>
              <w:pStyle w:val="CAR-TableText-Right"/>
              <w:widowControl w:val="0"/>
            </w:pPr>
            <w:r w:rsidRPr="00AB39A0">
              <w:noBreakHyphen/>
            </w:r>
          </w:p>
        </w:tc>
        <w:tc>
          <w:tcPr>
            <w:tcW w:w="601" w:type="pct"/>
          </w:tcPr>
          <w:p w14:paraId="25D45EBC" w14:textId="2D094D4E" w:rsidR="00E573D3" w:rsidRPr="00AB39A0" w:rsidRDefault="00E573D3">
            <w:pPr>
              <w:pStyle w:val="CAR-TableText-Right"/>
              <w:widowControl w:val="0"/>
            </w:pPr>
            <w:r w:rsidRPr="00AB39A0">
              <w:rPr>
                <w:color w:val="000000"/>
              </w:rPr>
              <w:noBreakHyphen/>
            </w:r>
          </w:p>
        </w:tc>
        <w:tc>
          <w:tcPr>
            <w:tcW w:w="601" w:type="pct"/>
          </w:tcPr>
          <w:p w14:paraId="6F63310F" w14:textId="4286ACD7" w:rsidR="00E573D3" w:rsidRPr="00AB39A0" w:rsidRDefault="00E573D3">
            <w:pPr>
              <w:pStyle w:val="CAR-TableText-Right"/>
              <w:widowControl w:val="0"/>
            </w:pPr>
            <w:r w:rsidRPr="00AB39A0">
              <w:rPr>
                <w:color w:val="000000"/>
              </w:rPr>
              <w:noBreakHyphen/>
            </w:r>
          </w:p>
        </w:tc>
        <w:tc>
          <w:tcPr>
            <w:tcW w:w="520" w:type="pct"/>
          </w:tcPr>
          <w:p w14:paraId="5FC8E5B5" w14:textId="3D5BFE04" w:rsidR="00E573D3" w:rsidRPr="00AB39A0" w:rsidRDefault="00883F98">
            <w:pPr>
              <w:pStyle w:val="CAR-TableText-Right"/>
              <w:widowControl w:val="0"/>
              <w:rPr>
                <w:color w:val="000000"/>
              </w:rPr>
            </w:pPr>
            <w:r>
              <w:rPr>
                <w:color w:val="000000"/>
              </w:rPr>
              <w:t>-</w:t>
            </w:r>
          </w:p>
        </w:tc>
      </w:tr>
      <w:tr w:rsidR="00E573D3" w:rsidRPr="00AB39A0" w14:paraId="0D937B5F" w14:textId="77777777" w:rsidTr="00A16753">
        <w:tc>
          <w:tcPr>
            <w:tcW w:w="1480" w:type="pct"/>
          </w:tcPr>
          <w:p w14:paraId="4B403A4D" w14:textId="77777777" w:rsidR="00E573D3" w:rsidRPr="00AB39A0" w:rsidRDefault="00E573D3">
            <w:pPr>
              <w:pStyle w:val="CAR-TableText-Left"/>
              <w:widowControl w:val="0"/>
            </w:pPr>
            <w:r w:rsidRPr="00AB39A0">
              <w:t>Withdrawn by ASIC</w:t>
            </w:r>
          </w:p>
        </w:tc>
        <w:tc>
          <w:tcPr>
            <w:tcW w:w="597" w:type="pct"/>
          </w:tcPr>
          <w:p w14:paraId="0DABF937" w14:textId="2895A5AA" w:rsidR="00E573D3" w:rsidRPr="00AB39A0" w:rsidRDefault="00E573D3">
            <w:pPr>
              <w:pStyle w:val="CAR-TableText-Right"/>
              <w:widowControl w:val="0"/>
            </w:pPr>
            <w:r>
              <w:t>2</w:t>
            </w:r>
          </w:p>
        </w:tc>
        <w:tc>
          <w:tcPr>
            <w:tcW w:w="600" w:type="pct"/>
          </w:tcPr>
          <w:p w14:paraId="4D87779A" w14:textId="1941AF52" w:rsidR="00E573D3" w:rsidRPr="00AB39A0" w:rsidRDefault="00E573D3">
            <w:pPr>
              <w:pStyle w:val="CAR-TableText-Right"/>
              <w:widowControl w:val="0"/>
            </w:pPr>
            <w:r>
              <w:t>1</w:t>
            </w:r>
          </w:p>
        </w:tc>
        <w:tc>
          <w:tcPr>
            <w:tcW w:w="601" w:type="pct"/>
          </w:tcPr>
          <w:p w14:paraId="3D8057E9" w14:textId="0E361E97" w:rsidR="00E573D3" w:rsidRPr="00AB39A0" w:rsidRDefault="00E573D3">
            <w:pPr>
              <w:pStyle w:val="CAR-TableText-Right"/>
              <w:widowControl w:val="0"/>
            </w:pPr>
            <w:r w:rsidRPr="00AB39A0">
              <w:noBreakHyphen/>
            </w:r>
          </w:p>
        </w:tc>
        <w:tc>
          <w:tcPr>
            <w:tcW w:w="601" w:type="pct"/>
          </w:tcPr>
          <w:p w14:paraId="2E1B16BC" w14:textId="37381BF4" w:rsidR="00E573D3" w:rsidRPr="00AB39A0" w:rsidRDefault="00E573D3">
            <w:pPr>
              <w:pStyle w:val="CAR-TableText-Right"/>
              <w:widowControl w:val="0"/>
            </w:pPr>
            <w:r w:rsidRPr="00AB39A0">
              <w:rPr>
                <w:color w:val="000000"/>
              </w:rPr>
              <w:noBreakHyphen/>
            </w:r>
          </w:p>
        </w:tc>
        <w:tc>
          <w:tcPr>
            <w:tcW w:w="601" w:type="pct"/>
          </w:tcPr>
          <w:p w14:paraId="72463258" w14:textId="3B6C70A5" w:rsidR="00E573D3" w:rsidRPr="00AB39A0" w:rsidRDefault="00E573D3">
            <w:pPr>
              <w:pStyle w:val="CAR-TableText-Right"/>
              <w:widowControl w:val="0"/>
            </w:pPr>
            <w:r w:rsidRPr="00AB39A0">
              <w:rPr>
                <w:color w:val="000000"/>
              </w:rPr>
              <w:noBreakHyphen/>
            </w:r>
          </w:p>
        </w:tc>
        <w:tc>
          <w:tcPr>
            <w:tcW w:w="520" w:type="pct"/>
          </w:tcPr>
          <w:p w14:paraId="4D3BE380" w14:textId="0D2CC49C" w:rsidR="00E573D3" w:rsidRPr="00AB39A0" w:rsidRDefault="00883F98">
            <w:pPr>
              <w:pStyle w:val="CAR-TableText-Right"/>
              <w:widowControl w:val="0"/>
              <w:rPr>
                <w:color w:val="000000"/>
              </w:rPr>
            </w:pPr>
            <w:r>
              <w:rPr>
                <w:color w:val="000000"/>
              </w:rPr>
              <w:t>-</w:t>
            </w:r>
          </w:p>
        </w:tc>
      </w:tr>
    </w:tbl>
    <w:p w14:paraId="6DF0A521" w14:textId="60CF7448" w:rsidR="00F343EE" w:rsidRPr="00AB39A0" w:rsidRDefault="006E057D" w:rsidP="0000696C">
      <w:pPr>
        <w:pStyle w:val="CAR-BodyText-Left"/>
        <w:spacing w:before="240"/>
        <w:jc w:val="both"/>
      </w:pPr>
      <w:r>
        <w:lastRenderedPageBreak/>
        <w:t>CA</w:t>
      </w:r>
      <w:r w:rsidR="00DF36FE" w:rsidRPr="00AB39A0">
        <w:t>D</w:t>
      </w:r>
      <w:r>
        <w:t>B d</w:t>
      </w:r>
      <w:r w:rsidR="00DF36FE" w:rsidRPr="00AB39A0">
        <w:t xml:space="preserve">ecisions </w:t>
      </w:r>
      <w:r w:rsidR="004D2688">
        <w:t>appeal</w:t>
      </w:r>
      <w:r w:rsidR="00DF36FE" w:rsidRPr="00AB39A0">
        <w:t xml:space="preserve">ed in the reporting year are detailed </w:t>
      </w:r>
      <w:r w:rsidR="0091281B" w:rsidRPr="00AB39A0">
        <w:t>on page</w:t>
      </w:r>
      <w:r w:rsidR="0078042B">
        <w:t xml:space="preserve"> </w:t>
      </w:r>
      <w:r w:rsidR="00754A2B">
        <w:t>9</w:t>
      </w:r>
      <w:r w:rsidR="00754A2B" w:rsidRPr="00AB39A0">
        <w:t xml:space="preserve"> </w:t>
      </w:r>
      <w:r w:rsidR="006D796C" w:rsidRPr="00AB39A0">
        <w:t>below</w:t>
      </w:r>
      <w:r w:rsidR="00193021" w:rsidRPr="00AB39A0">
        <w:t xml:space="preserve"> and decisions gazetted during the year are set out in </w:t>
      </w:r>
      <w:r w:rsidR="00193021" w:rsidRPr="00AB39A0">
        <w:rPr>
          <w:b/>
        </w:rPr>
        <w:t>Appendix 3</w:t>
      </w:r>
      <w:r w:rsidR="00494F86" w:rsidRPr="00AB39A0">
        <w:t xml:space="preserve">. </w:t>
      </w:r>
    </w:p>
    <w:p w14:paraId="43FBD6FA" w14:textId="00FFFB47" w:rsidR="002E303D" w:rsidRPr="00AB39A0" w:rsidRDefault="004D2688" w:rsidP="0000696C">
      <w:pPr>
        <w:pStyle w:val="Heading2"/>
        <w:jc w:val="both"/>
      </w:pPr>
      <w:bookmarkStart w:id="11" w:name="_Ref432691013"/>
      <w:bookmarkStart w:id="12" w:name="_Toc460850451"/>
      <w:r>
        <w:t>Notification and p</w:t>
      </w:r>
      <w:r w:rsidR="006516ED" w:rsidRPr="00AB39A0">
        <w:t xml:space="preserve">ublication of </w:t>
      </w:r>
      <w:r w:rsidR="00E573D3">
        <w:t>CADB</w:t>
      </w:r>
      <w:r w:rsidR="006516ED" w:rsidRPr="00AB39A0">
        <w:t xml:space="preserve"> decisions</w:t>
      </w:r>
      <w:bookmarkEnd w:id="11"/>
      <w:bookmarkEnd w:id="12"/>
    </w:p>
    <w:p w14:paraId="2F73158E" w14:textId="6CB8D586" w:rsidR="006D796C" w:rsidRPr="00AB39A0" w:rsidRDefault="00DF36FE" w:rsidP="0000696C">
      <w:pPr>
        <w:pStyle w:val="CAR-BodyText-Left"/>
        <w:jc w:val="both"/>
      </w:pPr>
      <w:r w:rsidRPr="00AB39A0">
        <w:t xml:space="preserve">Pursuant to </w:t>
      </w:r>
      <w:r w:rsidR="0067103D">
        <w:t>Sub-Section</w:t>
      </w:r>
      <w:r w:rsidR="000B0314">
        <w:t>s</w:t>
      </w:r>
      <w:r w:rsidRPr="00AB39A0">
        <w:t xml:space="preserve"> 1296(1)</w:t>
      </w:r>
      <w:r w:rsidR="006E057D">
        <w:t xml:space="preserve"> and (2)</w:t>
      </w:r>
      <w:r w:rsidRPr="00AB39A0">
        <w:t xml:space="preserve"> of the </w:t>
      </w:r>
      <w:r w:rsidR="009D7BF7" w:rsidRPr="00AB39A0">
        <w:t>Corporations Act</w:t>
      </w:r>
      <w:r w:rsidRPr="00AB39A0">
        <w:t xml:space="preserve">, written notice of a decision by a Panel </w:t>
      </w:r>
      <w:r w:rsidR="000B0314">
        <w:t xml:space="preserve">either </w:t>
      </w:r>
      <w:r w:rsidRPr="00AB39A0">
        <w:t xml:space="preserve">to exercise </w:t>
      </w:r>
      <w:r w:rsidR="000B0314">
        <w:t xml:space="preserve">or refuse to exercise </w:t>
      </w:r>
      <w:r w:rsidR="00E573D3">
        <w:t>CADB</w:t>
      </w:r>
      <w:r w:rsidR="00C44375" w:rsidRPr="00AB39A0">
        <w:t>’</w:t>
      </w:r>
      <w:r w:rsidR="003A1C05">
        <w:t xml:space="preserve">s powers under </w:t>
      </w:r>
      <w:r w:rsidR="0067103D">
        <w:t>Section</w:t>
      </w:r>
      <w:r w:rsidR="003A1C05">
        <w:t xml:space="preserve"> </w:t>
      </w:r>
      <w:r w:rsidRPr="00AB39A0">
        <w:t xml:space="preserve">1292 </w:t>
      </w:r>
      <w:r w:rsidR="006E057D">
        <w:t xml:space="preserve">of the Act </w:t>
      </w:r>
      <w:r w:rsidRPr="00AB39A0">
        <w:t xml:space="preserve">and the reasons for </w:t>
      </w:r>
      <w:r w:rsidR="000B0314">
        <w:t>such</w:t>
      </w:r>
      <w:r w:rsidRPr="00AB39A0">
        <w:t xml:space="preserve"> decision must be provided to the practitioner co</w:t>
      </w:r>
      <w:r w:rsidR="003A1C05">
        <w:t xml:space="preserve">ncerned. </w:t>
      </w:r>
      <w:r w:rsidRPr="00AB39A0">
        <w:t xml:space="preserve">A copy of </w:t>
      </w:r>
      <w:r w:rsidR="000B0314">
        <w:t>either</w:t>
      </w:r>
      <w:r w:rsidRPr="00AB39A0">
        <w:t xml:space="preserve"> such notice must </w:t>
      </w:r>
      <w:r w:rsidR="006E057D">
        <w:t xml:space="preserve">also </w:t>
      </w:r>
      <w:r w:rsidRPr="00AB39A0">
        <w:t>be lodged with ASIC.</w:t>
      </w:r>
      <w:r w:rsidR="00F13BF9" w:rsidRPr="00AB39A0">
        <w:t xml:space="preserve"> </w:t>
      </w:r>
      <w:r w:rsidRPr="00AB39A0">
        <w:t xml:space="preserve">The notice of decision is available for inspection at ASIC </w:t>
      </w:r>
      <w:r w:rsidRPr="000B0314">
        <w:rPr>
          <w:b/>
        </w:rPr>
        <w:t>except</w:t>
      </w:r>
      <w:r w:rsidRPr="00AB39A0">
        <w:t xml:space="preserve"> when the Panel has decided to refuse to exercise </w:t>
      </w:r>
      <w:r w:rsidR="00E573D3">
        <w:t>CADB</w:t>
      </w:r>
      <w:r w:rsidR="00C44375" w:rsidRPr="00AB39A0">
        <w:t>’</w:t>
      </w:r>
      <w:r w:rsidRPr="00AB39A0">
        <w:t xml:space="preserve">s powers under </w:t>
      </w:r>
      <w:r w:rsidR="0067103D">
        <w:t>Section</w:t>
      </w:r>
      <w:r w:rsidRPr="00AB39A0">
        <w:t xml:space="preserve"> 1292 or has decided that it is not required to make an order under </w:t>
      </w:r>
      <w:r w:rsidR="0067103D">
        <w:t>Sub-Section</w:t>
      </w:r>
      <w:r w:rsidR="00E621BC" w:rsidRPr="00AB39A0">
        <w:t xml:space="preserve"> 1292(7) (see </w:t>
      </w:r>
      <w:r w:rsidR="0067103D">
        <w:t>Sub-Section</w:t>
      </w:r>
      <w:r w:rsidR="00E44A55">
        <w:t xml:space="preserve"> </w:t>
      </w:r>
      <w:r w:rsidRPr="00AB39A0">
        <w:t>1274(2)(a)(iii)).</w:t>
      </w:r>
    </w:p>
    <w:p w14:paraId="6D0EAF2A" w14:textId="66FCB9B7" w:rsidR="006D796C" w:rsidRPr="00AB39A0" w:rsidRDefault="000B0314" w:rsidP="0000696C">
      <w:pPr>
        <w:pStyle w:val="CAR-BodyText-Left"/>
        <w:jc w:val="both"/>
      </w:pPr>
      <w:r>
        <w:t>If</w:t>
      </w:r>
      <w:r w:rsidR="00DF36FE" w:rsidRPr="00AB39A0">
        <w:t xml:space="preserve"> the Panel has decided to exercise any of the </w:t>
      </w:r>
      <w:r w:rsidR="00E573D3">
        <w:t>CADB</w:t>
      </w:r>
      <w:r w:rsidR="00C44375" w:rsidRPr="00AB39A0">
        <w:t>’</w:t>
      </w:r>
      <w:r w:rsidR="00E44A55">
        <w:t xml:space="preserve">s powers under </w:t>
      </w:r>
      <w:r w:rsidR="0067103D">
        <w:t>Section</w:t>
      </w:r>
      <w:r w:rsidR="00E44A55">
        <w:t xml:space="preserve"> </w:t>
      </w:r>
      <w:r w:rsidR="00DF36FE" w:rsidRPr="00AB39A0">
        <w:t>1292 or has decided that it is required to</w:t>
      </w:r>
      <w:r w:rsidR="003A1C05">
        <w:t xml:space="preserve"> make an order under </w:t>
      </w:r>
      <w:r w:rsidR="0067103D">
        <w:t>Sub-Section</w:t>
      </w:r>
      <w:r w:rsidR="00E44A55">
        <w:t xml:space="preserve"> </w:t>
      </w:r>
      <w:r w:rsidR="00DF36FE" w:rsidRPr="00AB39A0">
        <w:t xml:space="preserve">1292(7), </w:t>
      </w:r>
      <w:r w:rsidR="00E573D3">
        <w:t>CADB</w:t>
      </w:r>
      <w:r w:rsidR="00DF36FE" w:rsidRPr="00AB39A0">
        <w:t xml:space="preserve"> is required</w:t>
      </w:r>
      <w:r>
        <w:t>,</w:t>
      </w:r>
      <w:r w:rsidR="00DF36FE" w:rsidRPr="00AB39A0">
        <w:t xml:space="preserve"> pursuant to </w:t>
      </w:r>
      <w:r w:rsidR="0067103D">
        <w:t>Sub-Section</w:t>
      </w:r>
      <w:r w:rsidR="00DF36FE" w:rsidRPr="00AB39A0">
        <w:t xml:space="preserve"> 1296(1) to publish in the Commonwealth Gazette a notice setting out the decision. </w:t>
      </w:r>
    </w:p>
    <w:p w14:paraId="6762E281" w14:textId="062D83C9" w:rsidR="00AD1726" w:rsidRPr="00AB39A0" w:rsidRDefault="00DF36FE" w:rsidP="0000696C">
      <w:pPr>
        <w:pStyle w:val="CAR-BodyText-Left"/>
        <w:jc w:val="both"/>
      </w:pPr>
      <w:r w:rsidRPr="00AB39A0">
        <w:t xml:space="preserve">By arrangement with </w:t>
      </w:r>
      <w:r w:rsidR="003772A0">
        <w:t>CAANZ</w:t>
      </w:r>
      <w:r w:rsidRPr="00AB39A0">
        <w:t xml:space="preserve">, Institute of Public Accountants, </w:t>
      </w:r>
      <w:r w:rsidR="00D53431">
        <w:t xml:space="preserve">CPA Australia, </w:t>
      </w:r>
      <w:r w:rsidR="001E5943">
        <w:t>ARITA</w:t>
      </w:r>
      <w:r w:rsidRPr="00AB39A0">
        <w:t xml:space="preserve"> and the Tax </w:t>
      </w:r>
      <w:r w:rsidR="00193021" w:rsidRPr="00AB39A0">
        <w:t>Practitioners</w:t>
      </w:r>
      <w:r w:rsidRPr="00AB39A0">
        <w:t xml:space="preserve"> Board, copies of notices published in the Commonwealth Gazette are provided to those bodies of which the practitioner is a member.</w:t>
      </w:r>
      <w:r w:rsidR="006D796C" w:rsidRPr="00AB39A0" w:rsidDel="006D796C">
        <w:t xml:space="preserve"> </w:t>
      </w:r>
      <w:r w:rsidRPr="00AB39A0">
        <w:t xml:space="preserve">In addition, if the Panel decides to exercise any of </w:t>
      </w:r>
      <w:r w:rsidR="00E573D3">
        <w:t>CADB</w:t>
      </w:r>
      <w:r w:rsidR="00C44375" w:rsidRPr="00AB39A0">
        <w:t>’</w:t>
      </w:r>
      <w:r w:rsidRPr="00AB39A0">
        <w:t xml:space="preserve">s powers under </w:t>
      </w:r>
      <w:r w:rsidR="0067103D">
        <w:t>Section</w:t>
      </w:r>
      <w:r w:rsidR="00E44A55">
        <w:t xml:space="preserve"> </w:t>
      </w:r>
      <w:r w:rsidRPr="00AB39A0">
        <w:t xml:space="preserve">1292, it may take such steps as it considers reasonable and appropriate to publicise that decision and the reasons for that decision. This will include the power to post the decision and the reasons on the </w:t>
      </w:r>
      <w:r w:rsidR="00E573D3">
        <w:t>CADB</w:t>
      </w:r>
      <w:r w:rsidRPr="00AB39A0">
        <w:t xml:space="preserve"> website. </w:t>
      </w:r>
      <w:r w:rsidR="00E573D3">
        <w:t>CADB</w:t>
      </w:r>
      <w:r w:rsidRPr="00AB39A0">
        <w:t xml:space="preserve"> generally takes the view that it is appropriate to publish its decisions on the </w:t>
      </w:r>
      <w:r w:rsidR="00E573D3">
        <w:t>CADB</w:t>
      </w:r>
      <w:r w:rsidRPr="00AB39A0">
        <w:t xml:space="preserve"> website as this provides transparency of its decisions and processes as well as contributing to </w:t>
      </w:r>
      <w:r w:rsidR="00E573D3">
        <w:t>CADB</w:t>
      </w:r>
      <w:r w:rsidR="003772A0">
        <w:t xml:space="preserve">'s </w:t>
      </w:r>
      <w:r w:rsidRPr="00AB39A0">
        <w:t>public educative role.</w:t>
      </w:r>
      <w:r w:rsidR="006D796C" w:rsidRPr="00AB39A0" w:rsidDel="006D796C">
        <w:t xml:space="preserve"> </w:t>
      </w:r>
      <w:r w:rsidRPr="00AB39A0">
        <w:t xml:space="preserve">In the reporting year there </w:t>
      </w:r>
      <w:r w:rsidR="00193021" w:rsidRPr="00AB39A0">
        <w:t>w</w:t>
      </w:r>
      <w:r w:rsidR="005E67E5">
        <w:t>as</w:t>
      </w:r>
      <w:r w:rsidR="00193021" w:rsidRPr="00AB39A0">
        <w:t xml:space="preserve"> </w:t>
      </w:r>
      <w:r w:rsidR="005E67E5">
        <w:t>one</w:t>
      </w:r>
      <w:r w:rsidR="00193021" w:rsidRPr="00AB39A0">
        <w:t xml:space="preserve"> </w:t>
      </w:r>
      <w:r w:rsidRPr="00AB39A0">
        <w:t xml:space="preserve">decision gazetted and publicised pursuant to </w:t>
      </w:r>
      <w:r w:rsidR="00E573D3">
        <w:t>CADB</w:t>
      </w:r>
      <w:r w:rsidR="00C44375" w:rsidRPr="00AB39A0">
        <w:t>’</w:t>
      </w:r>
      <w:r w:rsidR="007132B3" w:rsidRPr="00AB39A0">
        <w:t xml:space="preserve">s powers under </w:t>
      </w:r>
      <w:r w:rsidR="0067103D">
        <w:t>Section</w:t>
      </w:r>
      <w:r w:rsidR="007132B3" w:rsidRPr="00AB39A0">
        <w:t xml:space="preserve"> </w:t>
      </w:r>
      <w:r w:rsidRPr="00AB39A0">
        <w:t>1292. Details are included in Appendix 3</w:t>
      </w:r>
      <w:r w:rsidR="00C44375" w:rsidRPr="00AB39A0">
        <w:t xml:space="preserve">. </w:t>
      </w:r>
      <w:r w:rsidR="004D2688">
        <w:t>T</w:t>
      </w:r>
      <w:r w:rsidRPr="00AB39A0">
        <w:t>he Board</w:t>
      </w:r>
      <w:r w:rsidR="00C44375" w:rsidRPr="00AB39A0">
        <w:t>’</w:t>
      </w:r>
      <w:r w:rsidRPr="00AB39A0">
        <w:t>s website:</w:t>
      </w:r>
      <w:r w:rsidR="00C7672F" w:rsidRPr="00AB39A0">
        <w:t xml:space="preserve"> </w:t>
      </w:r>
      <w:hyperlink r:id="rId34" w:history="1">
        <w:r w:rsidR="0093057B" w:rsidRPr="00792FDF">
          <w:rPr>
            <w:rStyle w:val="Hyperlink"/>
          </w:rPr>
          <w:t>www.cadb.gov.au</w:t>
        </w:r>
      </w:hyperlink>
      <w:r w:rsidR="00C7672F" w:rsidRPr="00AB39A0">
        <w:t>.</w:t>
      </w:r>
      <w:r w:rsidR="004D2688">
        <w:t xml:space="preserve"> </w:t>
      </w:r>
      <w:r w:rsidR="000B0314">
        <w:t>p</w:t>
      </w:r>
      <w:r w:rsidR="004D2688">
        <w:t xml:space="preserve">rovides access to the Board's decisions which are publically available.  </w:t>
      </w:r>
    </w:p>
    <w:p w14:paraId="57985FA1" w14:textId="5F0CCAC3" w:rsidR="00AD1726" w:rsidRPr="00AB39A0" w:rsidRDefault="006516ED" w:rsidP="0000696C">
      <w:pPr>
        <w:pStyle w:val="Heading2"/>
        <w:jc w:val="both"/>
        <w:rPr>
          <w:rFonts w:ascii="Book Antiqua" w:hAnsi="Book Antiqua"/>
          <w:sz w:val="20"/>
          <w:szCs w:val="20"/>
        </w:rPr>
      </w:pPr>
      <w:bookmarkStart w:id="13" w:name="_Toc460850452"/>
      <w:r w:rsidRPr="00AB39A0">
        <w:t xml:space="preserve">Costs orders by </w:t>
      </w:r>
      <w:r w:rsidR="00E573D3">
        <w:t>CADB</w:t>
      </w:r>
      <w:bookmarkEnd w:id="13"/>
    </w:p>
    <w:p w14:paraId="0B998B7E" w14:textId="69435EC2" w:rsidR="002E303D" w:rsidRPr="00AB39A0" w:rsidRDefault="00DF36FE" w:rsidP="0000696C">
      <w:pPr>
        <w:pStyle w:val="CAR-BodyText-Left"/>
        <w:jc w:val="both"/>
      </w:pPr>
      <w:r w:rsidRPr="00AB39A0">
        <w:t>At the end of a hearing a Panel may make an order for costs</w:t>
      </w:r>
      <w:r w:rsidR="000B0314">
        <w:t xml:space="preserve"> against the unsuccessful party</w:t>
      </w:r>
      <w:r w:rsidR="00BF1B1F" w:rsidRPr="00AB39A0">
        <w:t xml:space="preserve">. </w:t>
      </w:r>
      <w:r w:rsidR="00E573D3">
        <w:t>CADB</w:t>
      </w:r>
      <w:r w:rsidRPr="00AB39A0">
        <w:t xml:space="preserve"> </w:t>
      </w:r>
      <w:r w:rsidR="00BF1B1F" w:rsidRPr="00AB39A0">
        <w:t xml:space="preserve">has published a </w:t>
      </w:r>
      <w:r w:rsidRPr="00AB39A0">
        <w:t>Costs Practice Note</w:t>
      </w:r>
      <w:r w:rsidR="00BF1B1F" w:rsidRPr="00AB39A0">
        <w:t xml:space="preserve"> on its website</w:t>
      </w:r>
      <w:r w:rsidR="00494F86" w:rsidRPr="00AB39A0">
        <w:t xml:space="preserve">. </w:t>
      </w:r>
      <w:r w:rsidRPr="00AB39A0">
        <w:t xml:space="preserve">A Panel may also order payment by a party of all or part of the </w:t>
      </w:r>
      <w:r w:rsidR="00E573D3">
        <w:t>CADB</w:t>
      </w:r>
      <w:r w:rsidR="00C44375" w:rsidRPr="00AB39A0">
        <w:t>’</w:t>
      </w:r>
      <w:r w:rsidRPr="00AB39A0">
        <w:t xml:space="preserve">s costs of, and incidental to, a hearing. There is no power conferred on </w:t>
      </w:r>
      <w:r w:rsidR="00E573D3">
        <w:t>CADB</w:t>
      </w:r>
      <w:r w:rsidRPr="00AB39A0">
        <w:t xml:space="preserve"> to publish </w:t>
      </w:r>
      <w:r w:rsidR="006E057D">
        <w:t xml:space="preserve">the </w:t>
      </w:r>
      <w:r w:rsidRPr="00AB39A0">
        <w:t xml:space="preserve">costs orders </w:t>
      </w:r>
      <w:r w:rsidR="00BF1B1F" w:rsidRPr="00AB39A0">
        <w:t>it makes</w:t>
      </w:r>
      <w:r w:rsidR="00494F86" w:rsidRPr="00AB39A0">
        <w:t xml:space="preserve">. </w:t>
      </w:r>
    </w:p>
    <w:p w14:paraId="1C8918BF" w14:textId="5678714E" w:rsidR="002E303D" w:rsidRPr="00AB39A0" w:rsidRDefault="006516ED" w:rsidP="0000696C">
      <w:pPr>
        <w:pStyle w:val="Heading2"/>
        <w:jc w:val="both"/>
      </w:pPr>
      <w:bookmarkStart w:id="14" w:name="_Toc460850453"/>
      <w:r w:rsidRPr="00AB39A0">
        <w:t>Review</w:t>
      </w:r>
      <w:r w:rsidR="004D2688">
        <w:t>/Appeal</w:t>
      </w:r>
      <w:r w:rsidRPr="00AB39A0">
        <w:t xml:space="preserve"> of </w:t>
      </w:r>
      <w:r w:rsidR="00E573D3">
        <w:t>CADB</w:t>
      </w:r>
      <w:r w:rsidRPr="00AB39A0">
        <w:t xml:space="preserve"> decisions</w:t>
      </w:r>
      <w:bookmarkEnd w:id="14"/>
    </w:p>
    <w:p w14:paraId="52872529" w14:textId="07DF4132" w:rsidR="002E303D" w:rsidRPr="00AB39A0" w:rsidRDefault="00DF36FE" w:rsidP="0000696C">
      <w:pPr>
        <w:pStyle w:val="CAR-BodyText-Left"/>
        <w:jc w:val="both"/>
      </w:pPr>
      <w:r w:rsidRPr="00AB39A0">
        <w:t>A review</w:t>
      </w:r>
      <w:r w:rsidR="004D2688">
        <w:t>/appeal</w:t>
      </w:r>
      <w:r w:rsidRPr="00AB39A0">
        <w:t xml:space="preserve"> of any decision made under </w:t>
      </w:r>
      <w:r w:rsidR="0067103D">
        <w:t>Section</w:t>
      </w:r>
      <w:r w:rsidRPr="00AB39A0">
        <w:t xml:space="preserve"> 1292 of the </w:t>
      </w:r>
      <w:r w:rsidR="009D7BF7" w:rsidRPr="00AB39A0">
        <w:t xml:space="preserve">Corporations Act </w:t>
      </w:r>
      <w:r w:rsidRPr="00AB39A0">
        <w:t>may be sought before the AAT by ASIC or by APRA or by any person whose interests are affected by the decision.</w:t>
      </w:r>
    </w:p>
    <w:p w14:paraId="25A98491" w14:textId="5251110D" w:rsidR="002E303D" w:rsidRPr="00AB39A0" w:rsidRDefault="00DF36FE" w:rsidP="0000696C">
      <w:pPr>
        <w:pStyle w:val="CAR-BodyText-Left"/>
        <w:jc w:val="both"/>
      </w:pPr>
      <w:r w:rsidRPr="00AB39A0">
        <w:lastRenderedPageBreak/>
        <w:t xml:space="preserve">A person who is aggrieved by a decision of </w:t>
      </w:r>
      <w:r w:rsidR="00E573D3">
        <w:t>CADB</w:t>
      </w:r>
      <w:r w:rsidRPr="00AB39A0">
        <w:t xml:space="preserve"> may also apply to the Federal Court of Australia under the provisions of the </w:t>
      </w:r>
      <w:r w:rsidRPr="00AB39A0">
        <w:rPr>
          <w:i/>
        </w:rPr>
        <w:t>Administrative Decisions (Judicial Review) Act 1977</w:t>
      </w:r>
      <w:r w:rsidRPr="00AB39A0">
        <w:t xml:space="preserve"> for an order of review in respect of a decision.</w:t>
      </w:r>
    </w:p>
    <w:p w14:paraId="49161116" w14:textId="608CD52C" w:rsidR="002E303D" w:rsidRPr="00AB39A0" w:rsidRDefault="00DF36FE" w:rsidP="0000696C">
      <w:pPr>
        <w:pStyle w:val="CAR-BodyText-Left"/>
        <w:jc w:val="both"/>
      </w:pPr>
      <w:r w:rsidRPr="00AB39A0">
        <w:t xml:space="preserve">When a </w:t>
      </w:r>
      <w:r w:rsidR="00E573D3">
        <w:t>CADB</w:t>
      </w:r>
      <w:r w:rsidRPr="00AB39A0">
        <w:t xml:space="preserve"> decision is under review the Board will often be restricted from publishing any notice of decision</w:t>
      </w:r>
      <w:r w:rsidR="005140C1">
        <w:t xml:space="preserve"> by reason of a stay order issued by the reviewing body</w:t>
      </w:r>
      <w:r w:rsidRPr="00AB39A0">
        <w:t xml:space="preserve">. Such restriction may be sought by either of the parties and </w:t>
      </w:r>
      <w:r w:rsidR="00AA5810">
        <w:t>most</w:t>
      </w:r>
      <w:r w:rsidRPr="00AB39A0">
        <w:t xml:space="preserve"> often </w:t>
      </w:r>
      <w:r w:rsidR="00AA5810">
        <w:t xml:space="preserve">is </w:t>
      </w:r>
      <w:r w:rsidR="005118DB">
        <w:t xml:space="preserve">sought </w:t>
      </w:r>
      <w:r w:rsidR="00AA5810">
        <w:t xml:space="preserve">by a Respondent on the basis that they will suffer </w:t>
      </w:r>
      <w:r w:rsidR="005118DB">
        <w:t xml:space="preserve">prejudice </w:t>
      </w:r>
      <w:r w:rsidR="00AA5810">
        <w:t xml:space="preserve">by </w:t>
      </w:r>
      <w:r w:rsidR="00F36A54">
        <w:t xml:space="preserve">reason of the </w:t>
      </w:r>
      <w:r w:rsidR="00AA5810">
        <w:t>publication</w:t>
      </w:r>
      <w:r w:rsidR="005140C1">
        <w:t xml:space="preserve"> of the decision</w:t>
      </w:r>
      <w:r w:rsidR="00AA5810">
        <w:t xml:space="preserve"> if subsequently the </w:t>
      </w:r>
      <w:r w:rsidR="005140C1">
        <w:t>CADB</w:t>
      </w:r>
      <w:r w:rsidR="00AA5810">
        <w:t>'s</w:t>
      </w:r>
      <w:r w:rsidR="00454FD4">
        <w:t xml:space="preserve"> decision is </w:t>
      </w:r>
      <w:r w:rsidRPr="00AB39A0">
        <w:t xml:space="preserve">reversed or altered. </w:t>
      </w:r>
    </w:p>
    <w:p w14:paraId="0CA8ACC0" w14:textId="73444183" w:rsidR="00001123" w:rsidRPr="00AB39A0" w:rsidRDefault="00E44A55" w:rsidP="0000696C">
      <w:pPr>
        <w:pStyle w:val="CAR-BodyText-Left"/>
        <w:jc w:val="both"/>
      </w:pPr>
      <w:r>
        <w:t xml:space="preserve">There </w:t>
      </w:r>
      <w:r w:rsidR="00454FD4">
        <w:t>was one application</w:t>
      </w:r>
      <w:r w:rsidR="00DF36FE" w:rsidRPr="00AB39A0">
        <w:t xml:space="preserve"> for review of a </w:t>
      </w:r>
      <w:r w:rsidR="00E573D3">
        <w:t>CADB</w:t>
      </w:r>
      <w:r w:rsidR="00DF36FE" w:rsidRPr="00AB39A0">
        <w:t xml:space="preserve"> decision</w:t>
      </w:r>
      <w:r w:rsidR="00B8136C" w:rsidRPr="00AB39A0">
        <w:t xml:space="preserve"> under </w:t>
      </w:r>
      <w:r w:rsidR="0067103D">
        <w:t>Section</w:t>
      </w:r>
      <w:r>
        <w:t xml:space="preserve"> </w:t>
      </w:r>
      <w:r w:rsidR="00B8136C" w:rsidRPr="00AB39A0">
        <w:t>1292</w:t>
      </w:r>
      <w:r w:rsidR="00DF36FE" w:rsidRPr="00AB39A0">
        <w:t xml:space="preserve"> made </w:t>
      </w:r>
      <w:r w:rsidR="00454FD4">
        <w:t xml:space="preserve">to the AAT </w:t>
      </w:r>
      <w:r w:rsidR="00DF36FE" w:rsidRPr="00AB39A0">
        <w:t>during the reporting year</w:t>
      </w:r>
      <w:r w:rsidR="005140C1">
        <w:t xml:space="preserve"> which remained unfinalised at 30 June 2017</w:t>
      </w:r>
      <w:r w:rsidR="00494F86" w:rsidRPr="00AB39A0">
        <w:t xml:space="preserve">. </w:t>
      </w:r>
    </w:p>
    <w:p w14:paraId="3DF7FBD2" w14:textId="4237A4FC" w:rsidR="002E303D" w:rsidRPr="00AB39A0" w:rsidRDefault="00E573D3" w:rsidP="0000696C">
      <w:pPr>
        <w:pStyle w:val="Heading2"/>
        <w:jc w:val="both"/>
      </w:pPr>
      <w:bookmarkStart w:id="15" w:name="_Toc460850454"/>
      <w:r>
        <w:t>CADB</w:t>
      </w:r>
      <w:r w:rsidR="006516ED" w:rsidRPr="00AB39A0">
        <w:t xml:space="preserve"> </w:t>
      </w:r>
      <w:r w:rsidR="00172C18" w:rsidRPr="00AB39A0">
        <w:t>f</w:t>
      </w:r>
      <w:r w:rsidR="006516ED" w:rsidRPr="00AB39A0">
        <w:t>inancial information for reporting year</w:t>
      </w:r>
      <w:bookmarkEnd w:id="15"/>
    </w:p>
    <w:p w14:paraId="6D84785C" w14:textId="560F3606" w:rsidR="002E303D" w:rsidRPr="00AB39A0" w:rsidRDefault="00E573D3" w:rsidP="0000696C">
      <w:pPr>
        <w:pStyle w:val="CAR-BodyText-Left"/>
        <w:jc w:val="both"/>
      </w:pPr>
      <w:r>
        <w:t>CADB</w:t>
      </w:r>
      <w:r w:rsidR="002E303D" w:rsidRPr="006657B7">
        <w:t xml:space="preserve"> is allocated funding by the Federal Government </w:t>
      </w:r>
      <w:r w:rsidR="006E057D">
        <w:t>via the budget allocation to</w:t>
      </w:r>
      <w:r w:rsidR="002E303D" w:rsidRPr="006657B7">
        <w:t xml:space="preserve"> ASIC. </w:t>
      </w:r>
      <w:r w:rsidR="002843B9">
        <w:t xml:space="preserve"> </w:t>
      </w:r>
      <w:r w:rsidR="0067103D">
        <w:t>Sub-Section</w:t>
      </w:r>
      <w:r w:rsidR="000B0314">
        <w:t xml:space="preserve"> 11(2) of the ASIC Act provides that a function of ASIC is to provide such staff and support facilities to CADB as are necessary or desirable for the performance and exercise by the Board of its respective functions and powers. </w:t>
      </w:r>
      <w:r w:rsidR="006E057D">
        <w:t>Ap</w:t>
      </w:r>
      <w:r w:rsidR="002E303D" w:rsidRPr="006657B7">
        <w:t>art from</w:t>
      </w:r>
      <w:r w:rsidR="002E303D" w:rsidRPr="00AB39A0">
        <w:t xml:space="preserve"> some fixed overhead expenses, </w:t>
      </w:r>
      <w:r w:rsidR="006E057D">
        <w:t xml:space="preserve">CADB's expenses are </w:t>
      </w:r>
      <w:r w:rsidR="002E303D" w:rsidRPr="00AB39A0">
        <w:t>largely a function of the work</w:t>
      </w:r>
      <w:r w:rsidR="006E057D">
        <w:t xml:space="preserve"> referred to it</w:t>
      </w:r>
      <w:r w:rsidR="002E303D" w:rsidRPr="00AB39A0">
        <w:t>, being applications received, and so vary from year to year depending on the number and complexity of the applications made.</w:t>
      </w:r>
      <w:r w:rsidR="006E057D">
        <w:t xml:space="preserve"> CADB endeavours to operate within the annual budget allocation made by ASIC</w:t>
      </w:r>
      <w:r w:rsidR="007E6570">
        <w:t>, subject to these workflow fluctuations. It is noted that the introduction of the new provisions does not influence the volume of the CADB's work, which is simply dependent on referrals made by ASIC or APRA.</w:t>
      </w:r>
      <w:r w:rsidR="000B0314">
        <w:t xml:space="preserve">  </w:t>
      </w:r>
    </w:p>
    <w:p w14:paraId="0E0A4FCB" w14:textId="75EE250B" w:rsidR="002E303D" w:rsidRPr="00AB39A0" w:rsidRDefault="004D67F9" w:rsidP="00E4284F">
      <w:pPr>
        <w:pStyle w:val="CAR-BodyText-Left"/>
        <w:spacing w:before="240"/>
        <w:jc w:val="both"/>
      </w:pPr>
      <w:r>
        <w:t>CADB</w:t>
      </w:r>
      <w:r w:rsidRPr="00AB39A0">
        <w:t xml:space="preserve"> operated within the budget allocated to it by ASIC in the 201</w:t>
      </w:r>
      <w:r>
        <w:t>6</w:t>
      </w:r>
      <w:r w:rsidRPr="00AB39A0">
        <w:t>–1</w:t>
      </w:r>
      <w:r>
        <w:t>7</w:t>
      </w:r>
      <w:r w:rsidRPr="00AB39A0">
        <w:t xml:space="preserve"> year. </w:t>
      </w:r>
      <w:r>
        <w:t>E</w:t>
      </w:r>
      <w:r w:rsidR="002E303D" w:rsidRPr="00AB39A0">
        <w:t>xpenditure for this and the previous financial year, (extracted from the accounts of ASIC), was as follows:</w:t>
      </w:r>
    </w:p>
    <w:tbl>
      <w:tblPr>
        <w:tblW w:w="4886" w:type="pct"/>
        <w:tblInd w:w="108" w:type="dxa"/>
        <w:tblBorders>
          <w:top w:val="single" w:sz="2" w:space="0" w:color="000080"/>
          <w:bottom w:val="single" w:sz="2" w:space="0" w:color="000080"/>
        </w:tblBorders>
        <w:tblLook w:val="01E0" w:firstRow="1" w:lastRow="1" w:firstColumn="1" w:lastColumn="1" w:noHBand="0" w:noVBand="0"/>
      </w:tblPr>
      <w:tblGrid>
        <w:gridCol w:w="3860"/>
        <w:gridCol w:w="1974"/>
        <w:gridCol w:w="1912"/>
      </w:tblGrid>
      <w:tr w:rsidR="005E67E5" w:rsidRPr="00AB39A0" w14:paraId="21D978C8" w14:textId="77777777" w:rsidTr="005E67E5">
        <w:trPr>
          <w:tblHeader/>
        </w:trPr>
        <w:tc>
          <w:tcPr>
            <w:tcW w:w="2492" w:type="pct"/>
            <w:tcBorders>
              <w:top w:val="single" w:sz="2" w:space="0" w:color="000080"/>
              <w:bottom w:val="nil"/>
            </w:tcBorders>
            <w:shd w:val="clear" w:color="auto" w:fill="F2F2F2" w:themeFill="background1" w:themeFillShade="F2"/>
          </w:tcPr>
          <w:p w14:paraId="3CA3E7A7" w14:textId="77777777" w:rsidR="005E67E5" w:rsidRPr="00AB39A0" w:rsidRDefault="005E67E5" w:rsidP="00A41A58">
            <w:pPr>
              <w:pStyle w:val="TableColumnHeadingRight"/>
              <w:spacing w:before="60" w:after="0"/>
            </w:pPr>
          </w:p>
        </w:tc>
        <w:tc>
          <w:tcPr>
            <w:tcW w:w="1274" w:type="pct"/>
            <w:tcBorders>
              <w:top w:val="single" w:sz="2" w:space="0" w:color="000080"/>
              <w:bottom w:val="nil"/>
            </w:tcBorders>
            <w:shd w:val="clear" w:color="auto" w:fill="F2F2F2" w:themeFill="background1" w:themeFillShade="F2"/>
            <w:vAlign w:val="center"/>
          </w:tcPr>
          <w:p w14:paraId="76FAC163" w14:textId="1E3262C5" w:rsidR="005E67E5" w:rsidRPr="00AB39A0" w:rsidRDefault="005E67E5" w:rsidP="005E67E5">
            <w:pPr>
              <w:pStyle w:val="CAR-TableColHead-Right"/>
              <w:spacing w:after="0"/>
            </w:pPr>
            <w:r w:rsidRPr="00AB39A0">
              <w:t>201</w:t>
            </w:r>
            <w:r>
              <w:t>6</w:t>
            </w:r>
            <w:r w:rsidRPr="00AB39A0">
              <w:t>–1</w:t>
            </w:r>
            <w:r>
              <w:t>7</w:t>
            </w:r>
          </w:p>
        </w:tc>
        <w:tc>
          <w:tcPr>
            <w:tcW w:w="1234" w:type="pct"/>
            <w:tcBorders>
              <w:top w:val="single" w:sz="2" w:space="0" w:color="000080"/>
              <w:bottom w:val="nil"/>
            </w:tcBorders>
            <w:shd w:val="clear" w:color="auto" w:fill="F2F2F2" w:themeFill="background1" w:themeFillShade="F2"/>
            <w:vAlign w:val="center"/>
          </w:tcPr>
          <w:p w14:paraId="13BD9FDF" w14:textId="25B83BBA" w:rsidR="005E67E5" w:rsidRPr="00AB39A0" w:rsidRDefault="005E67E5" w:rsidP="00A41A58">
            <w:pPr>
              <w:pStyle w:val="CAR-TableColHead-Right"/>
              <w:spacing w:after="0"/>
            </w:pPr>
            <w:r w:rsidRPr="00AB39A0">
              <w:t>201</w:t>
            </w:r>
            <w:r>
              <w:t>5</w:t>
            </w:r>
            <w:r w:rsidRPr="00AB39A0">
              <w:t>–1</w:t>
            </w:r>
            <w:r>
              <w:t>6</w:t>
            </w:r>
          </w:p>
        </w:tc>
      </w:tr>
      <w:tr w:rsidR="005E67E5" w:rsidRPr="00AB39A0" w14:paraId="00E40A76" w14:textId="77777777" w:rsidTr="005E67E5">
        <w:trPr>
          <w:tblHeader/>
        </w:trPr>
        <w:tc>
          <w:tcPr>
            <w:tcW w:w="2492" w:type="pct"/>
            <w:tcBorders>
              <w:top w:val="nil"/>
              <w:bottom w:val="single" w:sz="2" w:space="0" w:color="000080"/>
            </w:tcBorders>
            <w:shd w:val="clear" w:color="auto" w:fill="F2F2F2" w:themeFill="background1" w:themeFillShade="F2"/>
          </w:tcPr>
          <w:p w14:paraId="2EFB59A3" w14:textId="77777777" w:rsidR="005E67E5" w:rsidRPr="00AB39A0" w:rsidRDefault="005E67E5" w:rsidP="00A41A58">
            <w:pPr>
              <w:pStyle w:val="TableColumnHeadingRight"/>
              <w:spacing w:before="0" w:after="60"/>
            </w:pPr>
          </w:p>
        </w:tc>
        <w:tc>
          <w:tcPr>
            <w:tcW w:w="1274" w:type="pct"/>
            <w:tcBorders>
              <w:top w:val="nil"/>
              <w:bottom w:val="single" w:sz="2" w:space="0" w:color="000080"/>
            </w:tcBorders>
            <w:shd w:val="clear" w:color="auto" w:fill="F2F2F2" w:themeFill="background1" w:themeFillShade="F2"/>
            <w:vAlign w:val="center"/>
          </w:tcPr>
          <w:p w14:paraId="7BAA98E7" w14:textId="77777777" w:rsidR="005E67E5" w:rsidRPr="00AB39A0" w:rsidRDefault="005E67E5" w:rsidP="00A41A58">
            <w:pPr>
              <w:pStyle w:val="CAR-TableColHead-Right"/>
              <w:spacing w:before="0"/>
            </w:pPr>
            <w:r w:rsidRPr="00AB39A0">
              <w:t>$</w:t>
            </w:r>
          </w:p>
        </w:tc>
        <w:tc>
          <w:tcPr>
            <w:tcW w:w="1234" w:type="pct"/>
            <w:tcBorders>
              <w:top w:val="nil"/>
              <w:bottom w:val="single" w:sz="2" w:space="0" w:color="000080"/>
            </w:tcBorders>
            <w:shd w:val="clear" w:color="auto" w:fill="F2F2F2" w:themeFill="background1" w:themeFillShade="F2"/>
            <w:vAlign w:val="center"/>
          </w:tcPr>
          <w:p w14:paraId="755F4A23" w14:textId="27D823C4" w:rsidR="005E67E5" w:rsidRPr="00AB39A0" w:rsidRDefault="005E67E5" w:rsidP="00A41A58">
            <w:pPr>
              <w:pStyle w:val="CAR-TableColHead-Right"/>
              <w:spacing w:before="0"/>
            </w:pPr>
            <w:r w:rsidRPr="00AB39A0">
              <w:t>$</w:t>
            </w:r>
          </w:p>
        </w:tc>
      </w:tr>
      <w:tr w:rsidR="005E67E5" w:rsidRPr="00AB39A0" w14:paraId="69DDEB69" w14:textId="77777777" w:rsidTr="005E67E5">
        <w:tc>
          <w:tcPr>
            <w:tcW w:w="2492" w:type="pct"/>
            <w:tcBorders>
              <w:top w:val="single" w:sz="2" w:space="0" w:color="000080"/>
            </w:tcBorders>
          </w:tcPr>
          <w:p w14:paraId="47720F5B" w14:textId="77777777" w:rsidR="005E67E5" w:rsidRPr="00AB39A0" w:rsidRDefault="005E67E5">
            <w:pPr>
              <w:pStyle w:val="CAR-TableText-Left"/>
            </w:pPr>
            <w:r w:rsidRPr="00AB39A0">
              <w:t>Administrative expenses (including staff costs and external legal costs)</w:t>
            </w:r>
          </w:p>
        </w:tc>
        <w:tc>
          <w:tcPr>
            <w:tcW w:w="1274" w:type="pct"/>
            <w:tcBorders>
              <w:top w:val="single" w:sz="2" w:space="0" w:color="000080"/>
            </w:tcBorders>
          </w:tcPr>
          <w:p w14:paraId="7DC402A1" w14:textId="648915A3" w:rsidR="005E67E5" w:rsidRPr="00AB39A0" w:rsidRDefault="00B712AE" w:rsidP="00C269CE">
            <w:pPr>
              <w:pStyle w:val="CAR-TableText-Right"/>
              <w:rPr>
                <w:iCs/>
                <w:color w:val="000000"/>
                <w:highlight w:val="yellow"/>
              </w:rPr>
            </w:pPr>
            <w:r>
              <w:rPr>
                <w:iCs/>
                <w:color w:val="000000"/>
              </w:rPr>
              <w:t>353,630</w:t>
            </w:r>
          </w:p>
        </w:tc>
        <w:tc>
          <w:tcPr>
            <w:tcW w:w="1234" w:type="pct"/>
            <w:tcBorders>
              <w:top w:val="single" w:sz="2" w:space="0" w:color="000080"/>
            </w:tcBorders>
          </w:tcPr>
          <w:p w14:paraId="5A588D12" w14:textId="29E0DDD6" w:rsidR="005E67E5" w:rsidRPr="00AB39A0" w:rsidRDefault="005E67E5" w:rsidP="008B723F">
            <w:pPr>
              <w:pStyle w:val="CAR-TableText-Right"/>
              <w:rPr>
                <w:iCs/>
                <w:color w:val="000000"/>
              </w:rPr>
            </w:pPr>
            <w:r>
              <w:rPr>
                <w:iCs/>
                <w:color w:val="000000"/>
              </w:rPr>
              <w:t>267,281</w:t>
            </w:r>
          </w:p>
        </w:tc>
      </w:tr>
      <w:tr w:rsidR="005E67E5" w:rsidRPr="00AB39A0" w14:paraId="0F60DBE1" w14:textId="77777777" w:rsidTr="005E67E5">
        <w:tc>
          <w:tcPr>
            <w:tcW w:w="2492" w:type="pct"/>
          </w:tcPr>
          <w:p w14:paraId="019D16EE" w14:textId="77777777" w:rsidR="005E67E5" w:rsidRPr="00AB39A0" w:rsidRDefault="005E67E5">
            <w:pPr>
              <w:pStyle w:val="CAR-TableText-Left"/>
            </w:pPr>
            <w:r w:rsidRPr="00AB39A0">
              <w:t>Travel and accommodation including allowances</w:t>
            </w:r>
          </w:p>
        </w:tc>
        <w:tc>
          <w:tcPr>
            <w:tcW w:w="1274" w:type="pct"/>
          </w:tcPr>
          <w:p w14:paraId="02855EA3" w14:textId="6E5FE18D" w:rsidR="005E67E5" w:rsidRPr="00AB39A0" w:rsidRDefault="00B712AE" w:rsidP="00DB28CF">
            <w:pPr>
              <w:pStyle w:val="CAR-TableText-Right"/>
              <w:rPr>
                <w:iCs/>
                <w:color w:val="000000"/>
                <w:highlight w:val="yellow"/>
              </w:rPr>
            </w:pPr>
            <w:r>
              <w:rPr>
                <w:iCs/>
                <w:color w:val="000000"/>
              </w:rPr>
              <w:t>14,696</w:t>
            </w:r>
          </w:p>
        </w:tc>
        <w:tc>
          <w:tcPr>
            <w:tcW w:w="1234" w:type="pct"/>
          </w:tcPr>
          <w:p w14:paraId="4159C9B6" w14:textId="32AB2718" w:rsidR="005E67E5" w:rsidRPr="00AB39A0" w:rsidRDefault="005E67E5" w:rsidP="008B723F">
            <w:pPr>
              <w:pStyle w:val="CAR-TableText-Right"/>
              <w:rPr>
                <w:iCs/>
                <w:color w:val="000000"/>
              </w:rPr>
            </w:pPr>
            <w:r>
              <w:rPr>
                <w:iCs/>
                <w:color w:val="000000"/>
              </w:rPr>
              <w:t>7,698</w:t>
            </w:r>
          </w:p>
        </w:tc>
      </w:tr>
      <w:tr w:rsidR="005E67E5" w:rsidRPr="00AB39A0" w14:paraId="5EBA253C" w14:textId="77777777" w:rsidTr="005E67E5">
        <w:tc>
          <w:tcPr>
            <w:tcW w:w="2492" w:type="pct"/>
          </w:tcPr>
          <w:p w14:paraId="11DFF3C6" w14:textId="7011B418" w:rsidR="005E67E5" w:rsidRPr="00AB39A0" w:rsidRDefault="005E67E5">
            <w:pPr>
              <w:pStyle w:val="CAR-TableText-Left"/>
            </w:pPr>
            <w:r w:rsidRPr="00AB39A0">
              <w:t>Members’ fees</w:t>
            </w:r>
          </w:p>
        </w:tc>
        <w:tc>
          <w:tcPr>
            <w:tcW w:w="1274" w:type="pct"/>
          </w:tcPr>
          <w:p w14:paraId="5797ACC6" w14:textId="17B41E5F" w:rsidR="005E67E5" w:rsidRPr="00AB39A0" w:rsidRDefault="00B712AE" w:rsidP="00C269CE">
            <w:pPr>
              <w:pStyle w:val="CAR-TableText-Right"/>
              <w:rPr>
                <w:iCs/>
                <w:color w:val="000000"/>
              </w:rPr>
            </w:pPr>
            <w:r>
              <w:rPr>
                <w:iCs/>
                <w:color w:val="000000"/>
              </w:rPr>
              <w:t>148,450</w:t>
            </w:r>
          </w:p>
        </w:tc>
        <w:tc>
          <w:tcPr>
            <w:tcW w:w="1234" w:type="pct"/>
          </w:tcPr>
          <w:p w14:paraId="7E3131F0" w14:textId="6B07A114" w:rsidR="005E67E5" w:rsidRPr="00AB39A0" w:rsidRDefault="005E67E5" w:rsidP="008B723F">
            <w:pPr>
              <w:pStyle w:val="CAR-TableText-Right"/>
              <w:rPr>
                <w:iCs/>
                <w:color w:val="000000"/>
              </w:rPr>
            </w:pPr>
            <w:r>
              <w:rPr>
                <w:iCs/>
                <w:color w:val="000000"/>
              </w:rPr>
              <w:t>365,390</w:t>
            </w:r>
          </w:p>
        </w:tc>
      </w:tr>
      <w:tr w:rsidR="005E67E5" w:rsidRPr="00AB39A0" w14:paraId="22C29588" w14:textId="77777777" w:rsidTr="005E67E5">
        <w:tc>
          <w:tcPr>
            <w:tcW w:w="2492" w:type="pct"/>
          </w:tcPr>
          <w:p w14:paraId="26335CDE" w14:textId="77777777" w:rsidR="005E67E5" w:rsidRPr="00AB39A0" w:rsidRDefault="005E67E5">
            <w:pPr>
              <w:pStyle w:val="CAR-TableColHead-Left"/>
            </w:pPr>
            <w:r w:rsidRPr="00AB39A0">
              <w:t>Total:</w:t>
            </w:r>
          </w:p>
        </w:tc>
        <w:tc>
          <w:tcPr>
            <w:tcW w:w="1274" w:type="pct"/>
          </w:tcPr>
          <w:p w14:paraId="1B7E83F9" w14:textId="56276BDD" w:rsidR="005E67E5" w:rsidRPr="00AB39A0" w:rsidRDefault="00B712AE" w:rsidP="00C269CE">
            <w:pPr>
              <w:pStyle w:val="CAR-TableText-Right"/>
              <w:rPr>
                <w:iCs/>
                <w:color w:val="000000"/>
              </w:rPr>
            </w:pPr>
            <w:r>
              <w:rPr>
                <w:iCs/>
                <w:color w:val="000000"/>
              </w:rPr>
              <w:t>516,776</w:t>
            </w:r>
          </w:p>
        </w:tc>
        <w:tc>
          <w:tcPr>
            <w:tcW w:w="1234" w:type="pct"/>
          </w:tcPr>
          <w:p w14:paraId="35C65D37" w14:textId="1EBB628C" w:rsidR="005E67E5" w:rsidRPr="00AB39A0" w:rsidRDefault="005E67E5" w:rsidP="008B723F">
            <w:pPr>
              <w:pStyle w:val="CAR-TableText-Right"/>
              <w:rPr>
                <w:iCs/>
                <w:color w:val="000000"/>
              </w:rPr>
            </w:pPr>
            <w:r>
              <w:rPr>
                <w:iCs/>
                <w:color w:val="000000"/>
              </w:rPr>
              <w:t>640,369</w:t>
            </w:r>
          </w:p>
        </w:tc>
      </w:tr>
    </w:tbl>
    <w:p w14:paraId="0BF5F614" w14:textId="77777777" w:rsidR="00E4284F" w:rsidRDefault="00E4284F" w:rsidP="00E4284F">
      <w:pPr>
        <w:pStyle w:val="CAR-BodyText-Left"/>
        <w:spacing w:before="240"/>
        <w:jc w:val="both"/>
      </w:pPr>
      <w:r w:rsidRPr="004E4C81">
        <w:t xml:space="preserve">The increase in overall administrative expenses </w:t>
      </w:r>
      <w:r>
        <w:t xml:space="preserve">was due to a one off redundancy staff cost incurred in CADB's results this financial year as a result of the </w:t>
      </w:r>
      <w:r w:rsidRPr="004E4C81">
        <w:t xml:space="preserve">restructuring of the Board's </w:t>
      </w:r>
      <w:r>
        <w:t>administrative support arrangements to take effect in the 2017/2018 reporting year.  Details of the revised arrangements are being finalised and will be reported on in the 2017/2018 reporting year</w:t>
      </w:r>
      <w:r w:rsidRPr="004E4C81">
        <w:t xml:space="preserve">. </w:t>
      </w:r>
    </w:p>
    <w:p w14:paraId="13B9449E" w14:textId="77777777" w:rsidR="00F36A54" w:rsidRDefault="002E303D" w:rsidP="0000696C">
      <w:pPr>
        <w:pStyle w:val="CAR-BodyText-Left"/>
        <w:spacing w:before="240"/>
        <w:jc w:val="both"/>
      </w:pPr>
      <w:r w:rsidRPr="004E4C81">
        <w:lastRenderedPageBreak/>
        <w:t>The</w:t>
      </w:r>
      <w:r w:rsidRPr="00AB39A0">
        <w:t xml:space="preserve"> year on year </w:t>
      </w:r>
      <w:r w:rsidR="00B712AE">
        <w:t>in</w:t>
      </w:r>
      <w:r w:rsidR="002F1AA3" w:rsidRPr="00AB39A0">
        <w:t xml:space="preserve">crease </w:t>
      </w:r>
      <w:r w:rsidRPr="00AB39A0">
        <w:t>in expenses in relation to travel and accommodation during the current year</w:t>
      </w:r>
      <w:r w:rsidR="0040664B">
        <w:t xml:space="preserve"> </w:t>
      </w:r>
      <w:r w:rsidR="005140C1">
        <w:t xml:space="preserve">was </w:t>
      </w:r>
      <w:r w:rsidR="0040664B">
        <w:t xml:space="preserve">due to </w:t>
      </w:r>
      <w:r w:rsidR="005140C1">
        <w:t>a</w:t>
      </w:r>
      <w:r w:rsidR="0040664B">
        <w:t xml:space="preserve"> hearing that took place </w:t>
      </w:r>
      <w:r w:rsidR="005140C1">
        <w:t xml:space="preserve">in Melbourne over </w:t>
      </w:r>
      <w:r w:rsidR="00760048">
        <w:t>two</w:t>
      </w:r>
      <w:r w:rsidR="005140C1">
        <w:t xml:space="preserve"> separate periods which required </w:t>
      </w:r>
      <w:r w:rsidR="0040664B">
        <w:t>the three members empanelled to hear the matter</w:t>
      </w:r>
      <w:r w:rsidR="005140C1">
        <w:t xml:space="preserve"> to travel from their domiciles in Sydney and Adelaide respectively</w:t>
      </w:r>
      <w:r w:rsidRPr="003772A0">
        <w:t xml:space="preserve">. </w:t>
      </w:r>
    </w:p>
    <w:p w14:paraId="1DEF5667" w14:textId="458A1EEA" w:rsidR="002E303D" w:rsidRDefault="002E303D" w:rsidP="0000696C">
      <w:pPr>
        <w:pStyle w:val="CAR-BodyText-Left"/>
        <w:spacing w:before="240"/>
        <w:jc w:val="both"/>
      </w:pPr>
      <w:r w:rsidRPr="00EA06B2">
        <w:t>Members</w:t>
      </w:r>
      <w:r w:rsidR="00C44375" w:rsidRPr="00EA06B2">
        <w:t>’</w:t>
      </w:r>
      <w:r w:rsidRPr="00EA06B2">
        <w:t xml:space="preserve"> fees </w:t>
      </w:r>
      <w:r w:rsidR="00760048">
        <w:t>de</w:t>
      </w:r>
      <w:r w:rsidR="003772A0" w:rsidRPr="00EA06B2">
        <w:t xml:space="preserve">creased </w:t>
      </w:r>
      <w:r w:rsidR="0040664B">
        <w:t xml:space="preserve">year on year </w:t>
      </w:r>
      <w:r w:rsidRPr="00EA06B2">
        <w:t>as a result</w:t>
      </w:r>
      <w:r w:rsidR="003C0591" w:rsidRPr="00EA06B2">
        <w:t xml:space="preserve"> </w:t>
      </w:r>
      <w:r w:rsidRPr="00EA06B2">
        <w:t xml:space="preserve">of </w:t>
      </w:r>
      <w:r w:rsidR="009531AA" w:rsidRPr="00EA06B2">
        <w:t xml:space="preserve">the </w:t>
      </w:r>
      <w:r w:rsidR="00B712AE">
        <w:t>de</w:t>
      </w:r>
      <w:r w:rsidR="003772A0" w:rsidRPr="00EA06B2">
        <w:t xml:space="preserve">creased </w:t>
      </w:r>
      <w:r w:rsidR="009531AA" w:rsidRPr="00EA06B2">
        <w:t xml:space="preserve">number of </w:t>
      </w:r>
      <w:r w:rsidRPr="00EA06B2">
        <w:t xml:space="preserve">hearing days </w:t>
      </w:r>
      <w:r w:rsidR="0040664B">
        <w:t xml:space="preserve">this </w:t>
      </w:r>
      <w:r w:rsidRPr="00EA06B2">
        <w:t>reporting year</w:t>
      </w:r>
      <w:r w:rsidR="0040664B">
        <w:t xml:space="preserve"> compared to the last reporting year</w:t>
      </w:r>
      <w:r w:rsidRPr="00EA06B2">
        <w:t xml:space="preserve">. </w:t>
      </w:r>
    </w:p>
    <w:p w14:paraId="6CC5CE21" w14:textId="5F2FECD2" w:rsidR="004D67F9" w:rsidRDefault="004D67F9" w:rsidP="004D67F9">
      <w:pPr>
        <w:pStyle w:val="CAR-BodyText-Left"/>
        <w:jc w:val="both"/>
      </w:pPr>
      <w:r w:rsidRPr="004E4C81">
        <w:t>CADB spent $10,125</w:t>
      </w:r>
      <w:r w:rsidR="00E4284F">
        <w:t xml:space="preserve"> (2016 -</w:t>
      </w:r>
      <w:r>
        <w:t xml:space="preserve"> $10,222)</w:t>
      </w:r>
      <w:r w:rsidRPr="00AB39A0">
        <w:t xml:space="preserve"> on external legal advice and legal representation at appeal proceedings </w:t>
      </w:r>
      <w:r>
        <w:t xml:space="preserve">by the Australian Government Solicitor </w:t>
      </w:r>
      <w:r w:rsidRPr="00AB39A0">
        <w:t>during the reporting year.</w:t>
      </w:r>
    </w:p>
    <w:p w14:paraId="15A9534A" w14:textId="174DD9F0" w:rsidR="004E4C81" w:rsidRPr="00AB39A0" w:rsidRDefault="004E4C81" w:rsidP="0000696C">
      <w:pPr>
        <w:pStyle w:val="CAR-BodyText-Left"/>
        <w:spacing w:before="240"/>
        <w:jc w:val="both"/>
      </w:pPr>
      <w:r>
        <w:t>Members of CADB</w:t>
      </w:r>
      <w:r w:rsidRPr="00AB39A0">
        <w:t xml:space="preserve"> are remunerated in accordance with rates determined by the Commonwealth Remuneration </w:t>
      </w:r>
      <w:r w:rsidRPr="004E4C81">
        <w:t>Tribunal. The Remuneration Tribunal completed a review of part</w:t>
      </w:r>
      <w:r w:rsidRPr="004E4C81">
        <w:noBreakHyphen/>
        <w:t>time offices and issued a new part</w:t>
      </w:r>
      <w:r w:rsidRPr="004E4C81">
        <w:noBreakHyphen/>
        <w:t>time determination in December 2016 (#2016/18) that took effect 8 December 2016. The</w:t>
      </w:r>
      <w:r w:rsidRPr="00AB39A0">
        <w:t xml:space="preserve"> daily rates effective for </w:t>
      </w:r>
      <w:r>
        <w:t>CADB</w:t>
      </w:r>
      <w:r w:rsidRPr="00AB39A0">
        <w:t xml:space="preserve"> members from 1</w:t>
      </w:r>
      <w:r>
        <w:t xml:space="preserve"> January 2016</w:t>
      </w:r>
      <w:r w:rsidRPr="00AB39A0">
        <w:t xml:space="preserve"> </w:t>
      </w:r>
      <w:r>
        <w:t xml:space="preserve">remain unchanged and </w:t>
      </w:r>
      <w:r w:rsidRPr="00AB39A0">
        <w:t>are as follows</w:t>
      </w:r>
      <w:r>
        <w:t>:</w:t>
      </w:r>
    </w:p>
    <w:p w14:paraId="026B39DF" w14:textId="1A61CA3B" w:rsidR="002E303D" w:rsidRPr="00AB39A0" w:rsidRDefault="002E303D" w:rsidP="0000696C">
      <w:pPr>
        <w:pStyle w:val="CAR-BodyText-Left"/>
        <w:tabs>
          <w:tab w:val="left" w:pos="2977"/>
        </w:tabs>
        <w:spacing w:after="120"/>
        <w:ind w:left="426"/>
        <w:jc w:val="both"/>
      </w:pPr>
      <w:r w:rsidRPr="00AB39A0">
        <w:t xml:space="preserve">Chairperson </w:t>
      </w:r>
      <w:r w:rsidRPr="00AB39A0">
        <w:tab/>
        <w:t>$1,</w:t>
      </w:r>
      <w:r w:rsidR="00E44A55">
        <w:t>411</w:t>
      </w:r>
    </w:p>
    <w:p w14:paraId="6697D104" w14:textId="42CD3F4D" w:rsidR="002E303D" w:rsidRPr="00AB39A0" w:rsidRDefault="002E303D" w:rsidP="0000696C">
      <w:pPr>
        <w:pStyle w:val="CAR-BodyText-Left"/>
        <w:tabs>
          <w:tab w:val="left" w:pos="2977"/>
        </w:tabs>
        <w:spacing w:after="120"/>
        <w:ind w:left="426"/>
        <w:jc w:val="both"/>
      </w:pPr>
      <w:r w:rsidRPr="00AB39A0">
        <w:t>Deputy Chairperson</w:t>
      </w:r>
      <w:r w:rsidR="006D796C" w:rsidRPr="00AB39A0">
        <w:tab/>
      </w:r>
      <w:r w:rsidRPr="00AB39A0">
        <w:t>$1,</w:t>
      </w:r>
      <w:r w:rsidR="00E44A55">
        <w:t>270</w:t>
      </w:r>
    </w:p>
    <w:p w14:paraId="693A6F59" w14:textId="0C2CF934" w:rsidR="002E303D" w:rsidRPr="00AB39A0" w:rsidRDefault="002E303D" w:rsidP="0000696C">
      <w:pPr>
        <w:pStyle w:val="CAR-BodyText-Left"/>
        <w:tabs>
          <w:tab w:val="left" w:pos="2977"/>
        </w:tabs>
        <w:ind w:left="426"/>
        <w:jc w:val="both"/>
      </w:pPr>
      <w:r w:rsidRPr="00AB39A0">
        <w:t>Member</w:t>
      </w:r>
      <w:r w:rsidRPr="00AB39A0">
        <w:tab/>
        <w:t>$1,1</w:t>
      </w:r>
      <w:r w:rsidR="00E44A55">
        <w:t>29</w:t>
      </w:r>
    </w:p>
    <w:p w14:paraId="7B65B4F4" w14:textId="77777777" w:rsidR="002E303D" w:rsidRPr="00AB39A0" w:rsidRDefault="00F073B9" w:rsidP="0000696C">
      <w:pPr>
        <w:pStyle w:val="Heading2"/>
        <w:jc w:val="both"/>
      </w:pPr>
      <w:bookmarkStart w:id="16" w:name="_Toc460850455"/>
      <w:r w:rsidRPr="00AB39A0">
        <w:t>Work h</w:t>
      </w:r>
      <w:r w:rsidR="006516ED" w:rsidRPr="00AB39A0">
        <w:t>ealth and safety and environmental matters</w:t>
      </w:r>
      <w:bookmarkEnd w:id="16"/>
    </w:p>
    <w:p w14:paraId="07DBEC9B" w14:textId="6AAD863F" w:rsidR="002E303D" w:rsidRPr="00AB39A0" w:rsidRDefault="002E303D" w:rsidP="0000696C">
      <w:pPr>
        <w:pStyle w:val="CAR-BodyText-Left"/>
        <w:jc w:val="both"/>
      </w:pPr>
      <w:r w:rsidRPr="00AB39A0">
        <w:t>ASIC is responsible for work</w:t>
      </w:r>
      <w:r w:rsidR="00A27057">
        <w:t>,</w:t>
      </w:r>
      <w:r w:rsidRPr="00AB39A0">
        <w:t xml:space="preserve"> health and safety and the working environment for staff seconded to the </w:t>
      </w:r>
      <w:r w:rsidR="00E573D3">
        <w:t>CADB</w:t>
      </w:r>
      <w:r w:rsidR="00494F86" w:rsidRPr="00AB39A0">
        <w:t xml:space="preserve">. </w:t>
      </w:r>
    </w:p>
    <w:p w14:paraId="1B10A272" w14:textId="0BC828B9" w:rsidR="002E303D" w:rsidRPr="00AB39A0" w:rsidRDefault="009531AA" w:rsidP="0000696C">
      <w:pPr>
        <w:pStyle w:val="CAR-BodyText-Left"/>
        <w:jc w:val="both"/>
      </w:pPr>
      <w:r w:rsidRPr="00AB39A0">
        <w:t>The</w:t>
      </w:r>
      <w:r w:rsidR="002E303D" w:rsidRPr="00AB39A0">
        <w:t xml:space="preserve"> Registrar, </w:t>
      </w:r>
      <w:r w:rsidRPr="00AB39A0">
        <w:t xml:space="preserve">the only staff member seconded to </w:t>
      </w:r>
      <w:r w:rsidR="00E573D3">
        <w:t>CADB</w:t>
      </w:r>
      <w:r w:rsidRPr="00AB39A0">
        <w:t xml:space="preserve">, </w:t>
      </w:r>
      <w:r w:rsidR="002E303D" w:rsidRPr="00AB39A0">
        <w:t xml:space="preserve">monitors the workplace environment on an ongoing basis to ensure the health, safety and welfare of workers who carry out work for </w:t>
      </w:r>
      <w:r w:rsidR="00E573D3">
        <w:t>CADB</w:t>
      </w:r>
      <w:r w:rsidR="002E303D" w:rsidRPr="00AB39A0">
        <w:t>. No accidents or dangerous occurrences, or relevant investigations took place during the 201</w:t>
      </w:r>
      <w:r w:rsidR="005E67E5">
        <w:t>6</w:t>
      </w:r>
      <w:r w:rsidR="00755D7D" w:rsidRPr="00AB39A0">
        <w:t>–</w:t>
      </w:r>
      <w:r w:rsidR="002E303D" w:rsidRPr="00AB39A0">
        <w:t>1</w:t>
      </w:r>
      <w:r w:rsidR="005E67E5">
        <w:t>7</w:t>
      </w:r>
      <w:r w:rsidR="002E303D" w:rsidRPr="00AB39A0">
        <w:t xml:space="preserve"> financial year. </w:t>
      </w:r>
      <w:r w:rsidR="00A27057">
        <w:t>W</w:t>
      </w:r>
      <w:r w:rsidR="002E303D" w:rsidRPr="00AB39A0">
        <w:t>hen attend</w:t>
      </w:r>
      <w:r w:rsidR="006657B7">
        <w:t>ing hearings and Board meetings</w:t>
      </w:r>
      <w:r w:rsidR="002E303D" w:rsidRPr="00AB39A0">
        <w:t xml:space="preserve"> </w:t>
      </w:r>
      <w:r w:rsidR="00A27057">
        <w:t>t</w:t>
      </w:r>
      <w:r w:rsidR="00A27057" w:rsidRPr="00AB39A0">
        <w:t xml:space="preserve">he Registrar and </w:t>
      </w:r>
      <w:r w:rsidR="00A27057">
        <w:t>CADB</w:t>
      </w:r>
      <w:r w:rsidR="00A27057" w:rsidRPr="00AB39A0">
        <w:t xml:space="preserve"> Board members </w:t>
      </w:r>
      <w:r w:rsidR="002E303D" w:rsidRPr="00AB39A0">
        <w:t xml:space="preserve">are covered </w:t>
      </w:r>
      <w:r w:rsidR="004427E7" w:rsidRPr="00AB39A0">
        <w:t xml:space="preserve">either </w:t>
      </w:r>
      <w:r w:rsidR="002E303D" w:rsidRPr="00AB39A0">
        <w:t xml:space="preserve">under Comcare </w:t>
      </w:r>
      <w:r w:rsidR="006657B7">
        <w:t>or</w:t>
      </w:r>
      <w:r w:rsidR="002E303D" w:rsidRPr="00AB39A0">
        <w:t xml:space="preserve"> Comcover</w:t>
      </w:r>
      <w:r w:rsidR="006657B7">
        <w:t>,</w:t>
      </w:r>
      <w:r w:rsidR="004427E7" w:rsidRPr="00AB39A0">
        <w:t xml:space="preserve"> or have their own arrangements in place</w:t>
      </w:r>
      <w:r w:rsidR="00494F86" w:rsidRPr="00AB39A0">
        <w:t xml:space="preserve">. </w:t>
      </w:r>
    </w:p>
    <w:p w14:paraId="6834A25D" w14:textId="599F00DD" w:rsidR="002E303D" w:rsidRPr="00AB39A0" w:rsidRDefault="002E303D" w:rsidP="0000696C">
      <w:pPr>
        <w:pStyle w:val="CAR-BodyText-Left"/>
        <w:spacing w:after="180"/>
        <w:jc w:val="both"/>
      </w:pPr>
      <w:r w:rsidRPr="00AB39A0">
        <w:t xml:space="preserve">Section 516A of the </w:t>
      </w:r>
      <w:r w:rsidR="009D7BF7" w:rsidRPr="00AB39A0">
        <w:rPr>
          <w:i/>
        </w:rPr>
        <w:t>Environment Protection and Biodiversity Conservation Act 1999</w:t>
      </w:r>
      <w:r w:rsidRPr="00AB39A0">
        <w:t xml:space="preserve"> requires </w:t>
      </w:r>
      <w:r w:rsidR="00E573D3">
        <w:t>CADB</w:t>
      </w:r>
      <w:r w:rsidRPr="00AB39A0">
        <w:t xml:space="preserve"> to report on matters relevant to </w:t>
      </w:r>
      <w:r w:rsidR="0093057B">
        <w:t>ESD</w:t>
      </w:r>
      <w:r w:rsidR="00494F86" w:rsidRPr="00AB39A0">
        <w:t xml:space="preserve">. </w:t>
      </w:r>
      <w:r w:rsidR="00E573D3">
        <w:t>CADB</w:t>
      </w:r>
      <w:r w:rsidRPr="00AB39A0">
        <w:t xml:space="preserve"> reports that:</w:t>
      </w:r>
    </w:p>
    <w:p w14:paraId="4645B768" w14:textId="77777777" w:rsidR="002E303D" w:rsidRPr="00AB39A0" w:rsidRDefault="002E303D" w:rsidP="0000696C">
      <w:pPr>
        <w:pStyle w:val="CAR-Bullet-1"/>
        <w:spacing w:after="180"/>
        <w:jc w:val="both"/>
      </w:pPr>
      <w:r w:rsidRPr="00AB39A0">
        <w:t>the only activities relevant to ESD principles concern procurement of goods and services</w:t>
      </w:r>
      <w:r w:rsidR="00FB613B" w:rsidRPr="00AB39A0">
        <w:t xml:space="preserve"> which is done through ASIC</w:t>
      </w:r>
      <w:r w:rsidR="009531AA" w:rsidRPr="00AB39A0">
        <w:t>;</w:t>
      </w:r>
    </w:p>
    <w:p w14:paraId="7B99E0A7" w14:textId="22AD6687" w:rsidR="002E303D" w:rsidRPr="00AB39A0" w:rsidRDefault="00E573D3" w:rsidP="0000696C">
      <w:pPr>
        <w:pStyle w:val="CAR-Bullet-1"/>
        <w:spacing w:after="180"/>
        <w:jc w:val="both"/>
      </w:pPr>
      <w:r>
        <w:t>CADB</w:t>
      </w:r>
      <w:r w:rsidR="00C44375" w:rsidRPr="00AB39A0">
        <w:t>’</w:t>
      </w:r>
      <w:r w:rsidR="002E303D" w:rsidRPr="00AB39A0">
        <w:t>s legislative function is not related to ESD principles</w:t>
      </w:r>
      <w:r w:rsidR="009531AA" w:rsidRPr="00AB39A0">
        <w:t>;</w:t>
      </w:r>
      <w:r w:rsidR="00487C7E" w:rsidRPr="00AB39A0">
        <w:t xml:space="preserve"> and</w:t>
      </w:r>
    </w:p>
    <w:p w14:paraId="594C58A2" w14:textId="18CEFC41" w:rsidR="0063284F" w:rsidRPr="00AB39A0" w:rsidRDefault="00E573D3" w:rsidP="0000696C">
      <w:pPr>
        <w:pStyle w:val="CAR-Bullet-1"/>
        <w:jc w:val="both"/>
      </w:pPr>
      <w:r>
        <w:t>CADB</w:t>
      </w:r>
      <w:r w:rsidR="002E303D" w:rsidRPr="00AB39A0">
        <w:t xml:space="preserve"> is a small statutory body with only one full time staff member operating from a single location in Sydney and </w:t>
      </w:r>
      <w:r w:rsidR="00A27057">
        <w:t xml:space="preserve">so </w:t>
      </w:r>
      <w:r w:rsidR="002E303D" w:rsidRPr="00AB39A0">
        <w:t>has a limited environmental impact</w:t>
      </w:r>
      <w:r w:rsidR="00494F86" w:rsidRPr="00AB39A0">
        <w:t xml:space="preserve">. </w:t>
      </w:r>
      <w:r>
        <w:t>CADB</w:t>
      </w:r>
      <w:r w:rsidR="002E303D" w:rsidRPr="00AB39A0">
        <w:t xml:space="preserve"> seeks to use minimum energy, water, paper and other resources </w:t>
      </w:r>
      <w:r w:rsidR="002E303D" w:rsidRPr="00AB39A0">
        <w:lastRenderedPageBreak/>
        <w:t>necessary to perform its functions and keeps under constant review possible measures to reduce its environmental impact</w:t>
      </w:r>
      <w:r w:rsidR="00F1721B" w:rsidRPr="00AB39A0">
        <w:t>.</w:t>
      </w:r>
    </w:p>
    <w:p w14:paraId="60F12354" w14:textId="5B15B537" w:rsidR="002E303D" w:rsidRPr="00AB39A0" w:rsidRDefault="006516ED" w:rsidP="0000696C">
      <w:pPr>
        <w:pStyle w:val="Heading2"/>
        <w:jc w:val="both"/>
      </w:pPr>
      <w:bookmarkStart w:id="17" w:name="_Toc460850456"/>
      <w:r w:rsidRPr="00AB39A0">
        <w:t xml:space="preserve">FOI </w:t>
      </w:r>
      <w:r w:rsidR="00DD3298" w:rsidRPr="00AB39A0">
        <w:t xml:space="preserve">Act </w:t>
      </w:r>
      <w:r w:rsidRPr="00AB39A0">
        <w:t xml:space="preserve">and </w:t>
      </w:r>
      <w:r w:rsidR="0067103D">
        <w:t>Section</w:t>
      </w:r>
      <w:r w:rsidRPr="00AB39A0">
        <w:t xml:space="preserve"> 13 AD(JR) Act requests</w:t>
      </w:r>
      <w:bookmarkEnd w:id="17"/>
    </w:p>
    <w:p w14:paraId="0E78D79C" w14:textId="2859288F" w:rsidR="005254C7" w:rsidRDefault="00E573D3" w:rsidP="0000696C">
      <w:pPr>
        <w:pStyle w:val="CAR-BodyText-Left"/>
        <w:jc w:val="both"/>
      </w:pPr>
      <w:r>
        <w:t>CADB</w:t>
      </w:r>
      <w:r w:rsidR="002E303D" w:rsidRPr="00AB39A0">
        <w:t xml:space="preserve"> did not receive any applications for information under the</w:t>
      </w:r>
      <w:r w:rsidR="00D15F67">
        <w:t xml:space="preserve"> </w:t>
      </w:r>
      <w:r w:rsidR="00DD3298" w:rsidRPr="00AB39A0">
        <w:t>FOI</w:t>
      </w:r>
      <w:r w:rsidR="00E7530B" w:rsidRPr="00AB39A0">
        <w:t xml:space="preserve"> Act</w:t>
      </w:r>
      <w:r w:rsidR="00DD3298" w:rsidRPr="00AB39A0">
        <w:t xml:space="preserve"> </w:t>
      </w:r>
      <w:r w:rsidR="002E303D" w:rsidRPr="00AB39A0">
        <w:t xml:space="preserve">or any requests for reasons pursuant to </w:t>
      </w:r>
      <w:r w:rsidR="0067103D">
        <w:t>Section</w:t>
      </w:r>
      <w:r w:rsidR="002E303D" w:rsidRPr="00AB39A0">
        <w:t xml:space="preserve"> 13 of the </w:t>
      </w:r>
      <w:r w:rsidR="00DD3298" w:rsidRPr="00AB39A0">
        <w:t>A</w:t>
      </w:r>
      <w:r w:rsidR="005254C7">
        <w:t>D(JR) Act</w:t>
      </w:r>
      <w:r w:rsidR="00F56B2D" w:rsidRPr="00F56B2D">
        <w:t xml:space="preserve"> </w:t>
      </w:r>
      <w:r w:rsidR="00F56B2D" w:rsidRPr="00AB39A0">
        <w:t>during the year.</w:t>
      </w:r>
    </w:p>
    <w:p w14:paraId="7E795951" w14:textId="77777777" w:rsidR="002E303D" w:rsidRPr="00AB39A0" w:rsidRDefault="002E303D" w:rsidP="0000696C">
      <w:pPr>
        <w:pStyle w:val="CAR-BodyText-Left"/>
        <w:jc w:val="both"/>
      </w:pPr>
      <w:r w:rsidRPr="00AB39A0">
        <w:t xml:space="preserve">Applications under the </w:t>
      </w:r>
      <w:r w:rsidR="009D7BF7" w:rsidRPr="00AB39A0">
        <w:t>FOI</w:t>
      </w:r>
      <w:r w:rsidR="00E97C49" w:rsidRPr="00AB39A0">
        <w:t xml:space="preserve"> </w:t>
      </w:r>
      <w:r w:rsidRPr="00AB39A0">
        <w:t>Act</w:t>
      </w:r>
      <w:r w:rsidRPr="00AB39A0">
        <w:rPr>
          <w:i/>
        </w:rPr>
        <w:t xml:space="preserve"> </w:t>
      </w:r>
      <w:r w:rsidR="009D7BF7" w:rsidRPr="00AB39A0">
        <w:t>and the</w:t>
      </w:r>
      <w:r w:rsidRPr="00AB39A0">
        <w:rPr>
          <w:i/>
        </w:rPr>
        <w:t xml:space="preserve"> </w:t>
      </w:r>
      <w:r w:rsidRPr="00AB39A0">
        <w:t>AD(JR)</w:t>
      </w:r>
      <w:r w:rsidR="00DD3298" w:rsidRPr="00AB39A0">
        <w:t xml:space="preserve"> Act</w:t>
      </w:r>
      <w:r w:rsidRPr="00AB39A0">
        <w:rPr>
          <w:i/>
        </w:rPr>
        <w:t xml:space="preserve"> </w:t>
      </w:r>
      <w:r w:rsidR="005B6C28" w:rsidRPr="00AB39A0">
        <w:t>may be made to the Registrar</w:t>
      </w:r>
      <w:r w:rsidRPr="00AB39A0">
        <w:rPr>
          <w:i/>
        </w:rPr>
        <w:t xml:space="preserve"> </w:t>
      </w:r>
      <w:r w:rsidR="005B6C28" w:rsidRPr="00AB39A0">
        <w:t>who</w:t>
      </w:r>
      <w:r w:rsidRPr="00AB39A0">
        <w:t xml:space="preserve"> may be</w:t>
      </w:r>
      <w:r w:rsidR="005B6C28" w:rsidRPr="00AB39A0">
        <w:t xml:space="preserve"> contact</w:t>
      </w:r>
      <w:r w:rsidRPr="00AB39A0">
        <w:t>ed</w:t>
      </w:r>
      <w:r w:rsidR="005B6C28" w:rsidRPr="00AB39A0">
        <w:t xml:space="preserve"> </w:t>
      </w:r>
      <w:r w:rsidRPr="00AB39A0">
        <w:t>at GPO Box 3731</w:t>
      </w:r>
      <w:r w:rsidR="00755D7D" w:rsidRPr="00AB39A0">
        <w:t>,</w:t>
      </w:r>
      <w:r w:rsidRPr="00AB39A0">
        <w:t xml:space="preserve"> Sydney NSW 2000</w:t>
      </w:r>
      <w:r w:rsidR="005B6C28" w:rsidRPr="00AB39A0">
        <w:t>.</w:t>
      </w:r>
      <w:r w:rsidRPr="00AB39A0">
        <w:t xml:space="preserve"> </w:t>
      </w:r>
    </w:p>
    <w:p w14:paraId="10647BDA" w14:textId="21092DFF" w:rsidR="002E303D" w:rsidRPr="00AB39A0" w:rsidRDefault="00E573D3" w:rsidP="0000696C">
      <w:pPr>
        <w:pStyle w:val="CAR-BodyText-Left"/>
        <w:jc w:val="both"/>
      </w:pPr>
      <w:r>
        <w:t>CADB</w:t>
      </w:r>
      <w:r w:rsidR="002E303D" w:rsidRPr="00AB39A0">
        <w:t xml:space="preserve"> </w:t>
      </w:r>
      <w:r w:rsidR="003C0591" w:rsidRPr="00AB39A0">
        <w:t xml:space="preserve">has </w:t>
      </w:r>
      <w:r w:rsidR="002E303D" w:rsidRPr="00AB39A0">
        <w:t>updat</w:t>
      </w:r>
      <w:r w:rsidR="003C0591" w:rsidRPr="00AB39A0">
        <w:t>e</w:t>
      </w:r>
      <w:r w:rsidR="006657B7">
        <w:t>d</w:t>
      </w:r>
      <w:r w:rsidR="002E303D" w:rsidRPr="00AB39A0">
        <w:t xml:space="preserve"> its website to comply with the</w:t>
      </w:r>
      <w:r w:rsidR="00755D7D" w:rsidRPr="00AB39A0">
        <w:t xml:space="preserve"> Information Publication Scheme (</w:t>
      </w:r>
      <w:r w:rsidR="002E303D" w:rsidRPr="00AB39A0">
        <w:t>IPS</w:t>
      </w:r>
      <w:r w:rsidR="00755D7D" w:rsidRPr="00AB39A0">
        <w:t>) under par</w:t>
      </w:r>
      <w:r w:rsidR="002E303D" w:rsidRPr="00AB39A0">
        <w:t>t</w:t>
      </w:r>
      <w:r w:rsidR="0063284F" w:rsidRPr="00AB39A0">
        <w:t xml:space="preserve"> </w:t>
      </w:r>
      <w:r w:rsidR="002E303D" w:rsidRPr="00AB39A0">
        <w:t>II of the FOI legislation</w:t>
      </w:r>
      <w:r w:rsidR="00494F86" w:rsidRPr="00AB39A0">
        <w:t xml:space="preserve">. </w:t>
      </w:r>
    </w:p>
    <w:p w14:paraId="79F02499" w14:textId="77777777" w:rsidR="002E303D" w:rsidRPr="00AB39A0" w:rsidRDefault="005B6C28" w:rsidP="0000696C">
      <w:pPr>
        <w:pStyle w:val="Heading3"/>
        <w:jc w:val="both"/>
      </w:pPr>
      <w:bookmarkStart w:id="18" w:name="_Toc460850457"/>
      <w:r w:rsidRPr="00AB39A0">
        <w:t>Ethics</w:t>
      </w:r>
      <w:bookmarkEnd w:id="18"/>
    </w:p>
    <w:p w14:paraId="0CB8E996" w14:textId="77777777" w:rsidR="002E303D" w:rsidRPr="00AB39A0" w:rsidRDefault="002E303D" w:rsidP="0000696C">
      <w:pPr>
        <w:pStyle w:val="CAR-BodyText-Left"/>
        <w:jc w:val="both"/>
      </w:pPr>
      <w:r w:rsidRPr="00AB39A0">
        <w:t>The Registrar</w:t>
      </w:r>
      <w:r w:rsidR="005B6C28" w:rsidRPr="00AB39A0">
        <w:t xml:space="preserve"> is required to adhere to the Australian Public Service values and code of conduct under the </w:t>
      </w:r>
      <w:r w:rsidR="009D7BF7" w:rsidRPr="00AB39A0">
        <w:t>Public Service Act</w:t>
      </w:r>
      <w:r w:rsidR="005B6C28" w:rsidRPr="00AB39A0">
        <w:t>. The requirements of the code of conduct include honesty, care and diligence, courtesy, compliance with the law, avoiding conflicts of interest and proper use of Commonwealth resources and information.</w:t>
      </w:r>
    </w:p>
    <w:p w14:paraId="2CE5D777" w14:textId="77777777" w:rsidR="002E303D" w:rsidRPr="00AB39A0" w:rsidRDefault="005B6C28" w:rsidP="0000696C">
      <w:pPr>
        <w:pStyle w:val="Heading3"/>
        <w:jc w:val="both"/>
      </w:pPr>
      <w:bookmarkStart w:id="19" w:name="_Toc460850458"/>
      <w:r w:rsidRPr="00AB39A0">
        <w:t>External scrutiny and accountability</w:t>
      </w:r>
      <w:bookmarkEnd w:id="19"/>
    </w:p>
    <w:p w14:paraId="0887BE02" w14:textId="59BE6766" w:rsidR="002E303D" w:rsidRPr="00AB39A0" w:rsidRDefault="002E303D" w:rsidP="0000696C">
      <w:pPr>
        <w:pStyle w:val="CAR-BodyText-Left"/>
        <w:jc w:val="both"/>
      </w:pPr>
      <w:r w:rsidRPr="00AB39A0">
        <w:t>During the financial year there were no judicial decisions or reports by the Auditor General, a parliamentary committee or the Commonwealth Ombudsman concerning</w:t>
      </w:r>
      <w:r w:rsidR="0063284F" w:rsidRPr="00AB39A0">
        <w:t>,</w:t>
      </w:r>
      <w:r w:rsidRPr="00AB39A0">
        <w:t xml:space="preserve"> or that could have a significant impact on</w:t>
      </w:r>
      <w:r w:rsidR="0063284F" w:rsidRPr="00AB39A0">
        <w:t>,</w:t>
      </w:r>
      <w:r w:rsidRPr="00AB39A0">
        <w:t xml:space="preserve"> the operations of </w:t>
      </w:r>
      <w:r w:rsidR="00E573D3">
        <w:t>CADB</w:t>
      </w:r>
      <w:r w:rsidRPr="00AB39A0">
        <w:t>.</w:t>
      </w:r>
    </w:p>
    <w:p w14:paraId="5A911B08" w14:textId="2098666A" w:rsidR="002E303D" w:rsidRPr="00AB39A0" w:rsidRDefault="002E303D" w:rsidP="0000696C">
      <w:pPr>
        <w:pStyle w:val="CAR-BodyText-Left"/>
        <w:jc w:val="both"/>
      </w:pPr>
      <w:r w:rsidRPr="00AB39A0">
        <w:t xml:space="preserve">The parliamentary joint committee on Corporations and Financial Services (PJC) and the Senate Economics Legislation Committee </w:t>
      </w:r>
      <w:r w:rsidR="007E6570">
        <w:t xml:space="preserve">(SELC) </w:t>
      </w:r>
      <w:r w:rsidRPr="00AB39A0">
        <w:t xml:space="preserve">review </w:t>
      </w:r>
      <w:r w:rsidRPr="00040590">
        <w:t>and</w:t>
      </w:r>
      <w:r w:rsidRPr="00AB39A0">
        <w:t xml:space="preserve"> prepare reports on the annual reports of statutory bodies </w:t>
      </w:r>
      <w:r w:rsidR="00BF7B63" w:rsidRPr="00AB39A0">
        <w:t>that</w:t>
      </w:r>
      <w:r w:rsidRPr="00AB39A0">
        <w:t xml:space="preserve"> come under the Treasury portfolio including </w:t>
      </w:r>
      <w:r w:rsidR="00E573D3">
        <w:t>CADB</w:t>
      </w:r>
      <w:r w:rsidRPr="00AB39A0">
        <w:t>.</w:t>
      </w:r>
    </w:p>
    <w:p w14:paraId="6716498F" w14:textId="7E249B50" w:rsidR="00943CFB" w:rsidRPr="00AB39A0" w:rsidRDefault="002E303D" w:rsidP="0000696C">
      <w:pPr>
        <w:jc w:val="both"/>
        <w:rPr>
          <w:rFonts w:cs="Lucida Grande"/>
          <w:color w:val="auto"/>
          <w:sz w:val="20"/>
          <w:szCs w:val="20"/>
        </w:rPr>
      </w:pPr>
      <w:r w:rsidRPr="00A27057">
        <w:rPr>
          <w:sz w:val="20"/>
          <w:szCs w:val="20"/>
        </w:rPr>
        <w:t xml:space="preserve">The PJC, in its report tabled </w:t>
      </w:r>
      <w:r w:rsidR="00A27057" w:rsidRPr="00A27057">
        <w:rPr>
          <w:sz w:val="20"/>
          <w:szCs w:val="20"/>
        </w:rPr>
        <w:t>to Parliament</w:t>
      </w:r>
      <w:r w:rsidRPr="00A27057">
        <w:rPr>
          <w:sz w:val="20"/>
          <w:szCs w:val="20"/>
        </w:rPr>
        <w:t xml:space="preserve"> </w:t>
      </w:r>
      <w:r w:rsidR="003C0591" w:rsidRPr="00A27057">
        <w:rPr>
          <w:sz w:val="20"/>
          <w:szCs w:val="20"/>
        </w:rPr>
        <w:t xml:space="preserve">on </w:t>
      </w:r>
      <w:r w:rsidR="00A27057" w:rsidRPr="00A27057">
        <w:rPr>
          <w:sz w:val="20"/>
          <w:szCs w:val="20"/>
        </w:rPr>
        <w:t>13</w:t>
      </w:r>
      <w:r w:rsidR="00454FD4" w:rsidRPr="00A27057">
        <w:rPr>
          <w:sz w:val="20"/>
          <w:szCs w:val="20"/>
        </w:rPr>
        <w:t xml:space="preserve"> </w:t>
      </w:r>
      <w:r w:rsidR="00A27057" w:rsidRPr="00A27057">
        <w:rPr>
          <w:sz w:val="20"/>
          <w:szCs w:val="20"/>
        </w:rPr>
        <w:t>June</w:t>
      </w:r>
      <w:r w:rsidR="00FF2D44" w:rsidRPr="00A27057">
        <w:rPr>
          <w:sz w:val="20"/>
          <w:szCs w:val="20"/>
        </w:rPr>
        <w:t xml:space="preserve"> </w:t>
      </w:r>
      <w:r w:rsidRPr="00A27057">
        <w:rPr>
          <w:sz w:val="20"/>
          <w:szCs w:val="20"/>
        </w:rPr>
        <w:t>201</w:t>
      </w:r>
      <w:r w:rsidR="00A27057" w:rsidRPr="00A27057">
        <w:rPr>
          <w:sz w:val="20"/>
          <w:szCs w:val="20"/>
        </w:rPr>
        <w:t>7</w:t>
      </w:r>
      <w:r w:rsidR="00A27057">
        <w:rPr>
          <w:sz w:val="20"/>
          <w:szCs w:val="20"/>
        </w:rPr>
        <w:t xml:space="preserve">, </w:t>
      </w:r>
      <w:r w:rsidRPr="00A27057">
        <w:rPr>
          <w:sz w:val="20"/>
          <w:szCs w:val="20"/>
        </w:rPr>
        <w:t xml:space="preserve">examined the annual reports of bodies established under the </w:t>
      </w:r>
      <w:r w:rsidR="009D7BF7" w:rsidRPr="00A27057">
        <w:rPr>
          <w:sz w:val="20"/>
          <w:szCs w:val="20"/>
        </w:rPr>
        <w:t>ASIC Act</w:t>
      </w:r>
      <w:r w:rsidR="00A27057">
        <w:rPr>
          <w:sz w:val="20"/>
          <w:szCs w:val="20"/>
        </w:rPr>
        <w:t xml:space="preserve"> and </w:t>
      </w:r>
      <w:r w:rsidR="00A27DE0" w:rsidRPr="00A27057">
        <w:rPr>
          <w:sz w:val="20"/>
          <w:szCs w:val="20"/>
        </w:rPr>
        <w:t xml:space="preserve">considered </w:t>
      </w:r>
      <w:r w:rsidR="00A27DE0" w:rsidRPr="00A27057">
        <w:rPr>
          <w:rFonts w:cs="Lucida Grande"/>
          <w:color w:val="auto"/>
          <w:sz w:val="20"/>
          <w:szCs w:val="20"/>
        </w:rPr>
        <w:t xml:space="preserve">that </w:t>
      </w:r>
      <w:r w:rsidR="00E573D3" w:rsidRPr="00A27057">
        <w:rPr>
          <w:rFonts w:cs="Lucida Grande"/>
          <w:color w:val="auto"/>
          <w:sz w:val="20"/>
          <w:szCs w:val="20"/>
        </w:rPr>
        <w:t>CADB</w:t>
      </w:r>
      <w:r w:rsidR="00A27DE0" w:rsidRPr="00A27057">
        <w:rPr>
          <w:rFonts w:cs="Lucida Grande"/>
          <w:color w:val="auto"/>
          <w:sz w:val="20"/>
          <w:szCs w:val="20"/>
        </w:rPr>
        <w:t xml:space="preserve"> fulfilled its regulatory and reporting responsibilities during the 201</w:t>
      </w:r>
      <w:r w:rsidR="00A27057">
        <w:rPr>
          <w:rFonts w:cs="Lucida Grande"/>
          <w:color w:val="auto"/>
          <w:sz w:val="20"/>
          <w:szCs w:val="20"/>
        </w:rPr>
        <w:t>5</w:t>
      </w:r>
      <w:r w:rsidR="00A27DE0" w:rsidRPr="00A27057">
        <w:rPr>
          <w:rFonts w:cs="Lucida Grande"/>
          <w:color w:val="auto"/>
          <w:sz w:val="20"/>
          <w:szCs w:val="20"/>
        </w:rPr>
        <w:t>–1</w:t>
      </w:r>
      <w:r w:rsidR="00A27057">
        <w:rPr>
          <w:rFonts w:cs="Lucida Grande"/>
          <w:color w:val="auto"/>
          <w:sz w:val="20"/>
          <w:szCs w:val="20"/>
        </w:rPr>
        <w:t>6</w:t>
      </w:r>
      <w:r w:rsidR="00A27DE0" w:rsidRPr="00A27057">
        <w:rPr>
          <w:rFonts w:cs="Lucida Grande"/>
          <w:color w:val="auto"/>
          <w:sz w:val="20"/>
          <w:szCs w:val="20"/>
        </w:rPr>
        <w:t xml:space="preserve"> financial year.</w:t>
      </w:r>
      <w:r w:rsidR="007E17DA" w:rsidRPr="00A27057">
        <w:rPr>
          <w:rFonts w:cs="Lucida Grande"/>
          <w:color w:val="auto"/>
          <w:sz w:val="20"/>
          <w:szCs w:val="20"/>
        </w:rPr>
        <w:t xml:space="preserve"> </w:t>
      </w:r>
      <w:r w:rsidR="00A27057">
        <w:rPr>
          <w:rFonts w:cs="Lucida Grande"/>
          <w:color w:val="auto"/>
          <w:sz w:val="20"/>
          <w:szCs w:val="20"/>
        </w:rPr>
        <w:t xml:space="preserve">The PJC noted that it will continue to monitor the effect of the passage of the Insolvency Law Reform Act on CADB's responsibilities and functions. </w:t>
      </w:r>
      <w:r w:rsidR="007E6570">
        <w:rPr>
          <w:rFonts w:cs="Lucida Grande"/>
          <w:color w:val="auto"/>
          <w:sz w:val="20"/>
          <w:szCs w:val="20"/>
        </w:rPr>
        <w:t>Appendix 1 of the SELC report on annual reports dated 22 March 2</w:t>
      </w:r>
      <w:r w:rsidR="004D67F9">
        <w:rPr>
          <w:rFonts w:cs="Lucida Grande"/>
          <w:color w:val="auto"/>
          <w:sz w:val="20"/>
          <w:szCs w:val="20"/>
        </w:rPr>
        <w:t>01</w:t>
      </w:r>
      <w:r w:rsidR="007E6570">
        <w:rPr>
          <w:rFonts w:cs="Lucida Grande"/>
          <w:color w:val="auto"/>
          <w:sz w:val="20"/>
          <w:szCs w:val="20"/>
        </w:rPr>
        <w:t>7 notes the date of presentation of the CALDB annual report to the Minister, the Senate and the House of Representatives, but did not otherwise comment on the C</w:t>
      </w:r>
      <w:r w:rsidR="00642509">
        <w:rPr>
          <w:rFonts w:cs="Lucida Grande"/>
          <w:color w:val="auto"/>
          <w:sz w:val="20"/>
          <w:szCs w:val="20"/>
        </w:rPr>
        <w:t>AL</w:t>
      </w:r>
      <w:r w:rsidR="007E6570">
        <w:rPr>
          <w:rFonts w:cs="Lucida Grande"/>
          <w:color w:val="auto"/>
          <w:sz w:val="20"/>
          <w:szCs w:val="20"/>
        </w:rPr>
        <w:t>DB 2015/2016 Annual Report</w:t>
      </w:r>
      <w:r w:rsidR="00454FD4" w:rsidRPr="00A27057">
        <w:rPr>
          <w:rFonts w:cs="Lucida Grande"/>
          <w:color w:val="auto"/>
          <w:sz w:val="20"/>
          <w:szCs w:val="20"/>
        </w:rPr>
        <w:t>.</w:t>
      </w:r>
      <w:r w:rsidR="00454FD4">
        <w:rPr>
          <w:rFonts w:cs="Lucida Grande"/>
          <w:color w:val="auto"/>
          <w:sz w:val="20"/>
          <w:szCs w:val="20"/>
        </w:rPr>
        <w:t xml:space="preserve">  </w:t>
      </w:r>
    </w:p>
    <w:p w14:paraId="099612FD" w14:textId="77777777" w:rsidR="002E303D" w:rsidRPr="00AB39A0" w:rsidRDefault="005B6C28" w:rsidP="0000696C">
      <w:pPr>
        <w:pStyle w:val="Heading3"/>
        <w:jc w:val="both"/>
      </w:pPr>
      <w:bookmarkStart w:id="20" w:name="_Toc460850459"/>
      <w:r w:rsidRPr="00AB39A0">
        <w:t>Management of human resources</w:t>
      </w:r>
      <w:bookmarkEnd w:id="20"/>
    </w:p>
    <w:p w14:paraId="5D632BBB" w14:textId="21D33585" w:rsidR="002E303D" w:rsidRPr="00AB39A0" w:rsidRDefault="005B6C28" w:rsidP="0000696C">
      <w:pPr>
        <w:pStyle w:val="CAR-BodyText-Left"/>
        <w:jc w:val="both"/>
      </w:pPr>
      <w:r w:rsidRPr="00AB39A0">
        <w:t>As noted there is one full time ASIC employee</w:t>
      </w:r>
      <w:r w:rsidR="002E303D" w:rsidRPr="00AB39A0">
        <w:t xml:space="preserve">, the Registrar, who is </w:t>
      </w:r>
      <w:r w:rsidRPr="00AB39A0">
        <w:t xml:space="preserve">permanently seconded to </w:t>
      </w:r>
      <w:r w:rsidR="00E573D3">
        <w:t>CADB</w:t>
      </w:r>
      <w:r w:rsidRPr="00AB39A0">
        <w:t xml:space="preserve"> </w:t>
      </w:r>
      <w:r w:rsidR="002E303D" w:rsidRPr="00AB39A0">
        <w:t xml:space="preserve">and </w:t>
      </w:r>
      <w:r w:rsidRPr="00AB39A0">
        <w:t xml:space="preserve">whose salary and entitlements are linked to the relevant ASIC officer salary scales and entitlements, which are determined under a collective agreement for ASIC staff. </w:t>
      </w:r>
    </w:p>
    <w:p w14:paraId="40918B23" w14:textId="57A782FC" w:rsidR="002E303D" w:rsidRDefault="002E303D" w:rsidP="0000696C">
      <w:pPr>
        <w:pStyle w:val="CAR-BodyText-Left"/>
        <w:jc w:val="both"/>
      </w:pPr>
      <w:r w:rsidRPr="00AB39A0">
        <w:lastRenderedPageBreak/>
        <w:t>The Registrar</w:t>
      </w:r>
      <w:r w:rsidR="00C44375" w:rsidRPr="00AB39A0">
        <w:t>’</w:t>
      </w:r>
      <w:r w:rsidRPr="00AB39A0">
        <w:t xml:space="preserve">s performance is </w:t>
      </w:r>
      <w:r w:rsidR="00BF7B63" w:rsidRPr="00AB39A0">
        <w:t>evaluated annually</w:t>
      </w:r>
      <w:r w:rsidRPr="00AB39A0">
        <w:t xml:space="preserve"> by t</w:t>
      </w:r>
      <w:r w:rsidR="00BF7B63" w:rsidRPr="00AB39A0">
        <w:t xml:space="preserve">he Chairperson of </w:t>
      </w:r>
      <w:r w:rsidR="00E573D3">
        <w:t>CADB</w:t>
      </w:r>
      <w:r w:rsidR="00494F86" w:rsidRPr="00AB39A0">
        <w:t xml:space="preserve">. </w:t>
      </w:r>
      <w:r w:rsidRPr="00AB39A0">
        <w:t>The Registrar received a performance bonus in the current reporting year</w:t>
      </w:r>
      <w:r w:rsidR="00494F86" w:rsidRPr="00AB39A0">
        <w:t xml:space="preserve">. </w:t>
      </w:r>
    </w:p>
    <w:p w14:paraId="2A938E44" w14:textId="014DAB45" w:rsidR="002E303D" w:rsidRPr="00AB39A0" w:rsidRDefault="005B6C28" w:rsidP="0000696C">
      <w:pPr>
        <w:pStyle w:val="CAR-BodyText-Left"/>
        <w:jc w:val="both"/>
      </w:pPr>
      <w:r w:rsidRPr="00AB39A0">
        <w:t>No work and safety issues arose during the 201</w:t>
      </w:r>
      <w:r w:rsidR="00F56B2D">
        <w:t>6</w:t>
      </w:r>
      <w:r w:rsidR="00C44375" w:rsidRPr="00AB39A0">
        <w:noBreakHyphen/>
      </w:r>
      <w:r w:rsidRPr="00AB39A0">
        <w:t>1</w:t>
      </w:r>
      <w:r w:rsidR="00F56B2D">
        <w:t>7</w:t>
      </w:r>
      <w:r w:rsidRPr="00AB39A0">
        <w:t xml:space="preserve"> financial year.</w:t>
      </w:r>
    </w:p>
    <w:p w14:paraId="79C5844A" w14:textId="77777777" w:rsidR="002E303D" w:rsidRPr="00AB39A0" w:rsidRDefault="005B6C28" w:rsidP="0000696C">
      <w:pPr>
        <w:pStyle w:val="Heading3"/>
        <w:jc w:val="both"/>
      </w:pPr>
      <w:bookmarkStart w:id="21" w:name="_Toc460850460"/>
      <w:r w:rsidRPr="00AB39A0">
        <w:t>Purchasing</w:t>
      </w:r>
      <w:bookmarkEnd w:id="21"/>
    </w:p>
    <w:p w14:paraId="297116ED" w14:textId="45C887FB" w:rsidR="002E303D" w:rsidRPr="00AB39A0" w:rsidRDefault="002E303D" w:rsidP="0000696C">
      <w:pPr>
        <w:pStyle w:val="CAR-BodyText-Left"/>
        <w:jc w:val="both"/>
      </w:pPr>
      <w:r w:rsidRPr="00AB39A0">
        <w:t xml:space="preserve">All required items are purchased through arrangement with ASIC, which follows the Commonwealth Procurement guidelines. </w:t>
      </w:r>
      <w:r w:rsidR="00E573D3">
        <w:t>CADB</w:t>
      </w:r>
      <w:r w:rsidRPr="00AB39A0">
        <w:t xml:space="preserve"> did not have any major capital purchases in 201</w:t>
      </w:r>
      <w:r w:rsidR="00F56B2D">
        <w:t>6</w:t>
      </w:r>
      <w:r w:rsidR="00C44375" w:rsidRPr="00AB39A0">
        <w:noBreakHyphen/>
      </w:r>
      <w:r w:rsidRPr="00AB39A0">
        <w:t>1</w:t>
      </w:r>
      <w:r w:rsidR="00F56B2D">
        <w:t>7</w:t>
      </w:r>
      <w:r w:rsidRPr="00AB39A0">
        <w:t>.</w:t>
      </w:r>
    </w:p>
    <w:p w14:paraId="7289484D" w14:textId="77777777" w:rsidR="002E303D" w:rsidRPr="00AB39A0" w:rsidRDefault="005B6C28" w:rsidP="0000696C">
      <w:pPr>
        <w:pStyle w:val="Heading3"/>
        <w:jc w:val="both"/>
      </w:pPr>
      <w:bookmarkStart w:id="22" w:name="_Toc460850461"/>
      <w:r w:rsidRPr="00AB39A0">
        <w:t>Consultants</w:t>
      </w:r>
      <w:bookmarkEnd w:id="22"/>
    </w:p>
    <w:p w14:paraId="17A7B9BF" w14:textId="6E3CA98D" w:rsidR="002E303D" w:rsidRPr="00AB39A0" w:rsidRDefault="002E303D" w:rsidP="0000696C">
      <w:pPr>
        <w:pStyle w:val="CAR-BodyText-Left"/>
        <w:jc w:val="both"/>
      </w:pPr>
      <w:r w:rsidRPr="00AB39A0">
        <w:t>During 201</w:t>
      </w:r>
      <w:r w:rsidR="00F56B2D">
        <w:t>6</w:t>
      </w:r>
      <w:r w:rsidR="00C44375" w:rsidRPr="00AB39A0">
        <w:noBreakHyphen/>
      </w:r>
      <w:r w:rsidRPr="00AB39A0">
        <w:t>1</w:t>
      </w:r>
      <w:r w:rsidR="00F56B2D">
        <w:t>7</w:t>
      </w:r>
      <w:r w:rsidRPr="00AB39A0">
        <w:t xml:space="preserve"> </w:t>
      </w:r>
      <w:r w:rsidR="00E573D3">
        <w:t>CADB</w:t>
      </w:r>
      <w:r w:rsidRPr="00AB39A0">
        <w:t xml:space="preserve"> did not en</w:t>
      </w:r>
      <w:r w:rsidR="005B6C28" w:rsidRPr="00AB39A0">
        <w:t>ter into any consultancy contracts and there are no ongoing consultancy contracts.</w:t>
      </w:r>
    </w:p>
    <w:p w14:paraId="188D8CF6" w14:textId="77777777" w:rsidR="002E303D" w:rsidRPr="00AB39A0" w:rsidRDefault="005B6C28" w:rsidP="0000696C">
      <w:pPr>
        <w:pStyle w:val="Heading3"/>
        <w:jc w:val="both"/>
      </w:pPr>
      <w:bookmarkStart w:id="23" w:name="_Toc460850462"/>
      <w:r w:rsidRPr="00AB39A0">
        <w:t>Competitive tendering</w:t>
      </w:r>
      <w:bookmarkEnd w:id="23"/>
    </w:p>
    <w:p w14:paraId="0965722B" w14:textId="7B6D948D" w:rsidR="002E303D" w:rsidRPr="00AB39A0" w:rsidRDefault="00E573D3" w:rsidP="0000696C">
      <w:pPr>
        <w:pStyle w:val="CAR-BodyText-Left"/>
        <w:jc w:val="both"/>
      </w:pPr>
      <w:r>
        <w:t>CADB</w:t>
      </w:r>
      <w:r w:rsidR="002E303D" w:rsidRPr="00AB39A0">
        <w:t xml:space="preserve"> did not undertake any competitive tendering or contracting during the 201</w:t>
      </w:r>
      <w:r w:rsidR="00F56B2D">
        <w:t>6</w:t>
      </w:r>
      <w:r w:rsidR="00C44375" w:rsidRPr="00AB39A0">
        <w:noBreakHyphen/>
      </w:r>
      <w:r w:rsidR="002E303D" w:rsidRPr="00AB39A0">
        <w:t>1</w:t>
      </w:r>
      <w:r w:rsidR="00F56B2D">
        <w:t>7</w:t>
      </w:r>
      <w:r w:rsidR="002E303D" w:rsidRPr="00AB39A0">
        <w:t xml:space="preserve"> financial year.</w:t>
      </w:r>
    </w:p>
    <w:p w14:paraId="13D982F6" w14:textId="0682A0A3" w:rsidR="002E303D" w:rsidRPr="00AB39A0" w:rsidRDefault="005B6C28" w:rsidP="0000696C">
      <w:pPr>
        <w:pStyle w:val="Heading3"/>
        <w:jc w:val="both"/>
      </w:pPr>
      <w:bookmarkStart w:id="24" w:name="_Toc460850463"/>
      <w:r w:rsidRPr="00AB39A0">
        <w:t>Australian Natio</w:t>
      </w:r>
      <w:r w:rsidR="006657B7">
        <w:t>nal Audit O</w:t>
      </w:r>
      <w:r w:rsidRPr="00AB39A0">
        <w:t xml:space="preserve">ffice </w:t>
      </w:r>
      <w:r w:rsidR="006657B7" w:rsidRPr="00AB39A0">
        <w:t>access clauses</w:t>
      </w:r>
      <w:bookmarkEnd w:id="24"/>
    </w:p>
    <w:p w14:paraId="1A81D8B5" w14:textId="474FA448" w:rsidR="002E303D" w:rsidRPr="00AB39A0" w:rsidRDefault="00E573D3" w:rsidP="0000696C">
      <w:pPr>
        <w:pStyle w:val="CAR-BodyText-Left"/>
        <w:jc w:val="both"/>
      </w:pPr>
      <w:r>
        <w:t>CADB</w:t>
      </w:r>
      <w:r w:rsidR="002E303D" w:rsidRPr="00AB39A0">
        <w:t xml:space="preserve"> has not entered into any contract of $100,000 or more during the reporting period.</w:t>
      </w:r>
    </w:p>
    <w:p w14:paraId="02635A38" w14:textId="77777777" w:rsidR="002E303D" w:rsidRPr="00AB39A0" w:rsidRDefault="005B6C28" w:rsidP="0000696C">
      <w:pPr>
        <w:pStyle w:val="Heading3"/>
        <w:jc w:val="both"/>
      </w:pPr>
      <w:bookmarkStart w:id="25" w:name="_Toc460850464"/>
      <w:r w:rsidRPr="00AB39A0">
        <w:t>Exempt contracts</w:t>
      </w:r>
      <w:bookmarkEnd w:id="25"/>
    </w:p>
    <w:p w14:paraId="3888CE3E" w14:textId="19D66BFA" w:rsidR="002E303D" w:rsidRPr="00AB39A0" w:rsidRDefault="00E573D3" w:rsidP="0000696C">
      <w:pPr>
        <w:pStyle w:val="CAR-BodyText-Left"/>
        <w:jc w:val="both"/>
      </w:pPr>
      <w:r>
        <w:t>CADB</w:t>
      </w:r>
      <w:r w:rsidR="002E303D" w:rsidRPr="00AB39A0">
        <w:t xml:space="preserve"> has no contracts or standing offers that have been exempted from being published in AusTender on the basis that publication would disclose exempt matters under the</w:t>
      </w:r>
      <w:r w:rsidR="00E7530B" w:rsidRPr="00AB39A0">
        <w:t xml:space="preserve"> </w:t>
      </w:r>
      <w:r w:rsidR="009D7BF7" w:rsidRPr="00AB39A0">
        <w:t>FOI Act</w:t>
      </w:r>
      <w:r w:rsidR="002E303D" w:rsidRPr="00AB39A0">
        <w:t>.</w:t>
      </w:r>
    </w:p>
    <w:p w14:paraId="735CE755" w14:textId="77777777" w:rsidR="002E303D" w:rsidRPr="00AB39A0" w:rsidRDefault="005B6C28" w:rsidP="0000696C">
      <w:pPr>
        <w:pStyle w:val="Heading3"/>
        <w:jc w:val="both"/>
      </w:pPr>
      <w:bookmarkStart w:id="26" w:name="_Toc460850465"/>
      <w:r w:rsidRPr="00AB39A0">
        <w:t xml:space="preserve">Advertising and </w:t>
      </w:r>
      <w:r w:rsidR="00755D7D" w:rsidRPr="00AB39A0">
        <w:t>market research</w:t>
      </w:r>
      <w:bookmarkEnd w:id="26"/>
    </w:p>
    <w:p w14:paraId="4E238B4F" w14:textId="5AF78DFE" w:rsidR="002E303D" w:rsidRPr="00AB39A0" w:rsidRDefault="00E573D3" w:rsidP="0000696C">
      <w:pPr>
        <w:pStyle w:val="CAR-BodyText-Left"/>
        <w:jc w:val="both"/>
      </w:pPr>
      <w:r>
        <w:t>CADB</w:t>
      </w:r>
      <w:r w:rsidR="002E303D" w:rsidRPr="00AB39A0">
        <w:t xml:space="preserve"> does not carry out any advertising or market research.</w:t>
      </w:r>
    </w:p>
    <w:p w14:paraId="44A43109" w14:textId="77777777" w:rsidR="002E303D" w:rsidRPr="00AB39A0" w:rsidRDefault="005B6C28" w:rsidP="0000696C">
      <w:pPr>
        <w:pStyle w:val="Heading3"/>
        <w:jc w:val="both"/>
      </w:pPr>
      <w:bookmarkStart w:id="27" w:name="_Toc460850466"/>
      <w:r w:rsidRPr="00AB39A0">
        <w:t>Discretionary grants</w:t>
      </w:r>
      <w:bookmarkEnd w:id="27"/>
      <w:r w:rsidRPr="00AB39A0">
        <w:t xml:space="preserve"> </w:t>
      </w:r>
    </w:p>
    <w:p w14:paraId="69FA1037" w14:textId="72438D58" w:rsidR="002E303D" w:rsidRPr="00AB39A0" w:rsidRDefault="00E573D3" w:rsidP="0000696C">
      <w:pPr>
        <w:pStyle w:val="CAR-BodyText-Left"/>
        <w:jc w:val="both"/>
      </w:pPr>
      <w:r>
        <w:t>CADB</w:t>
      </w:r>
      <w:r w:rsidR="002E303D" w:rsidRPr="00AB39A0">
        <w:t xml:space="preserve"> does not administer any discretionary grant programmes.</w:t>
      </w:r>
    </w:p>
    <w:p w14:paraId="394D080A" w14:textId="77777777" w:rsidR="00902C3C" w:rsidRPr="00AB39A0" w:rsidRDefault="00902C3C" w:rsidP="0000696C">
      <w:pPr>
        <w:pStyle w:val="CAR-BodyText-Left"/>
        <w:jc w:val="both"/>
      </w:pPr>
    </w:p>
    <w:p w14:paraId="5B3A3D59" w14:textId="77777777" w:rsidR="00AC4F1D" w:rsidRPr="00AB39A0" w:rsidRDefault="00AC4F1D" w:rsidP="006E37E2">
      <w:pPr>
        <w:pStyle w:val="CAR-BodyText-Left"/>
        <w:sectPr w:rsidR="00AC4F1D" w:rsidRPr="00AB39A0" w:rsidSect="00C44375">
          <w:headerReference w:type="default" r:id="rId35"/>
          <w:type w:val="oddPage"/>
          <w:pgSz w:w="11907" w:h="16834" w:code="9"/>
          <w:pgMar w:top="2466" w:right="2098" w:bottom="2466" w:left="2098" w:header="1899" w:footer="1899" w:gutter="0"/>
          <w:cols w:space="720"/>
          <w:titlePg/>
          <w:docGrid w:linePitch="326"/>
        </w:sectPr>
      </w:pPr>
    </w:p>
    <w:p w14:paraId="645077BD" w14:textId="77777777" w:rsidR="002E303D" w:rsidRPr="00AB39A0" w:rsidRDefault="00E97C49" w:rsidP="00487C7E">
      <w:pPr>
        <w:pStyle w:val="Heading1"/>
        <w:rPr>
          <w:i/>
          <w:lang w:val="en-AU"/>
        </w:rPr>
      </w:pPr>
      <w:bookmarkStart w:id="28" w:name="_Toc460850467"/>
      <w:r w:rsidRPr="00AB39A0">
        <w:rPr>
          <w:lang w:val="en-AU"/>
        </w:rPr>
        <w:lastRenderedPageBreak/>
        <w:t>Glossary</w:t>
      </w:r>
      <w:bookmarkEnd w:id="28"/>
      <w:r w:rsidRPr="00AB39A0">
        <w:rPr>
          <w:lang w:val="en-AU"/>
        </w:rPr>
        <w:t xml:space="preserve"> </w:t>
      </w:r>
    </w:p>
    <w:p w14:paraId="7E0E89E3" w14:textId="77777777" w:rsidR="002E303D" w:rsidRPr="00AB39A0" w:rsidRDefault="002E303D" w:rsidP="00A41A58">
      <w:pPr>
        <w:pStyle w:val="CAR-BodyText-Left"/>
        <w:tabs>
          <w:tab w:val="left" w:pos="2268"/>
        </w:tabs>
      </w:pPr>
      <w:r w:rsidRPr="00AB39A0">
        <w:t>AAT</w:t>
      </w:r>
      <w:r w:rsidRPr="00AB39A0">
        <w:tab/>
        <w:t>Administrative Appeals Tribunal</w:t>
      </w:r>
    </w:p>
    <w:p w14:paraId="0ECCCFD1" w14:textId="77777777" w:rsidR="002E303D" w:rsidRPr="00AB39A0" w:rsidRDefault="002E303D" w:rsidP="00A41A58">
      <w:pPr>
        <w:pStyle w:val="CAR-BodyText-Left"/>
        <w:tabs>
          <w:tab w:val="left" w:pos="2268"/>
        </w:tabs>
      </w:pPr>
      <w:r w:rsidRPr="00AB39A0">
        <w:t>AD(JR)</w:t>
      </w:r>
      <w:r w:rsidR="00DD3298" w:rsidRPr="00AB39A0">
        <w:t xml:space="preserve"> Act</w:t>
      </w:r>
      <w:r w:rsidRPr="00AB39A0">
        <w:tab/>
      </w:r>
      <w:r w:rsidRPr="00AB39A0">
        <w:rPr>
          <w:i/>
        </w:rPr>
        <w:t>Administrative Decisions (Judicial Review) Act 1977</w:t>
      </w:r>
    </w:p>
    <w:p w14:paraId="624D2C43" w14:textId="77777777" w:rsidR="002E303D" w:rsidRPr="00AB39A0" w:rsidRDefault="002E303D" w:rsidP="00A41A58">
      <w:pPr>
        <w:pStyle w:val="CAR-BodyText-Left"/>
        <w:tabs>
          <w:tab w:val="left" w:pos="2268"/>
        </w:tabs>
      </w:pPr>
      <w:r w:rsidRPr="00AB39A0">
        <w:t>AGS</w:t>
      </w:r>
      <w:r w:rsidRPr="00AB39A0">
        <w:tab/>
        <w:t>Australian Government Solicitor</w:t>
      </w:r>
    </w:p>
    <w:p w14:paraId="45A7EE0A" w14:textId="77777777" w:rsidR="00DD3298" w:rsidRPr="00AB39A0" w:rsidRDefault="00DD3298" w:rsidP="00A41A58">
      <w:pPr>
        <w:pStyle w:val="CAR-BodyText-Left"/>
        <w:tabs>
          <w:tab w:val="left" w:pos="2268"/>
        </w:tabs>
      </w:pPr>
      <w:r w:rsidRPr="00AB39A0">
        <w:t>APRA</w:t>
      </w:r>
      <w:r w:rsidRPr="00AB39A0">
        <w:tab/>
        <w:t>Australian Prudential Regulation Authority</w:t>
      </w:r>
    </w:p>
    <w:p w14:paraId="5663DE75" w14:textId="77777777" w:rsidR="002E303D" w:rsidRDefault="002E303D" w:rsidP="00A41A58">
      <w:pPr>
        <w:pStyle w:val="CAR-BodyText-Left"/>
        <w:tabs>
          <w:tab w:val="left" w:pos="2268"/>
        </w:tabs>
      </w:pPr>
      <w:r w:rsidRPr="00AB39A0">
        <w:t>A</w:t>
      </w:r>
      <w:r w:rsidR="006E37E2" w:rsidRPr="00AB39A0">
        <w:t>PS</w:t>
      </w:r>
      <w:r w:rsidR="006E37E2" w:rsidRPr="00AB39A0">
        <w:tab/>
        <w:t>Australian Public Service</w:t>
      </w:r>
    </w:p>
    <w:p w14:paraId="6DCAEE5E" w14:textId="5B51E6CE" w:rsidR="00A8573B" w:rsidRPr="00AB39A0" w:rsidRDefault="00A8573B" w:rsidP="0065494B">
      <w:pPr>
        <w:pStyle w:val="CAR-BodyText-Left"/>
        <w:tabs>
          <w:tab w:val="left" w:pos="2268"/>
        </w:tabs>
        <w:ind w:left="2268" w:hanging="2268"/>
      </w:pPr>
      <w:r>
        <w:t>ARITA</w:t>
      </w:r>
      <w:r>
        <w:tab/>
        <w:t>Australian Restru</w:t>
      </w:r>
      <w:r w:rsidR="0065494B">
        <w:t xml:space="preserve">cturing Insolvency &amp; Turnaround </w:t>
      </w:r>
      <w:r>
        <w:t>Association</w:t>
      </w:r>
    </w:p>
    <w:p w14:paraId="505A0CC3" w14:textId="77777777" w:rsidR="002E303D" w:rsidRPr="00AB39A0" w:rsidRDefault="002E303D" w:rsidP="00A41A58">
      <w:pPr>
        <w:pStyle w:val="CAR-BodyText-Left"/>
        <w:tabs>
          <w:tab w:val="left" w:pos="2268"/>
        </w:tabs>
      </w:pPr>
      <w:r w:rsidRPr="00AB39A0">
        <w:t>ASIC</w:t>
      </w:r>
      <w:r w:rsidRPr="00AB39A0">
        <w:tab/>
        <w:t>Australian Securities and Investments Commission</w:t>
      </w:r>
    </w:p>
    <w:p w14:paraId="29A88203" w14:textId="77777777" w:rsidR="00BB0422" w:rsidRDefault="002E303D" w:rsidP="00A41A58">
      <w:pPr>
        <w:pStyle w:val="CAR-BodyText-Left"/>
        <w:tabs>
          <w:tab w:val="left" w:pos="2268"/>
        </w:tabs>
        <w:rPr>
          <w:i/>
        </w:rPr>
      </w:pPr>
      <w:r w:rsidRPr="00AB39A0">
        <w:t>ASIC Act</w:t>
      </w:r>
      <w:r w:rsidRPr="00AB39A0">
        <w:tab/>
      </w:r>
      <w:r w:rsidRPr="00AB39A0">
        <w:rPr>
          <w:i/>
        </w:rPr>
        <w:t>Australian Securities and Investments Commission Act 2001</w:t>
      </w:r>
    </w:p>
    <w:p w14:paraId="53A3149C" w14:textId="5D8FB119" w:rsidR="00A05F9C" w:rsidRPr="00A05F9C" w:rsidRDefault="00A05F9C" w:rsidP="00A41A58">
      <w:pPr>
        <w:pStyle w:val="CAR-BodyText-Left"/>
        <w:tabs>
          <w:tab w:val="left" w:pos="2268"/>
        </w:tabs>
      </w:pPr>
      <w:r w:rsidRPr="00A05F9C">
        <w:t>Board</w:t>
      </w:r>
      <w:r>
        <w:tab/>
        <w:t>CADB</w:t>
      </w:r>
    </w:p>
    <w:p w14:paraId="40907984" w14:textId="55BA36AC" w:rsidR="00091CBC" w:rsidRDefault="00E573D3" w:rsidP="00A41A58">
      <w:pPr>
        <w:pStyle w:val="CAR-BodyText-Left"/>
        <w:tabs>
          <w:tab w:val="left" w:pos="2268"/>
        </w:tabs>
      </w:pPr>
      <w:r>
        <w:t>CADB</w:t>
      </w:r>
      <w:r w:rsidR="002E303D" w:rsidRPr="00AB39A0">
        <w:tab/>
        <w:t>Companies Auditors Disciplinary Board</w:t>
      </w:r>
    </w:p>
    <w:p w14:paraId="63D044EA" w14:textId="47F0BC71" w:rsidR="004C0689" w:rsidRDefault="004C0689" w:rsidP="00A41A58">
      <w:pPr>
        <w:pStyle w:val="CAR-BodyText-Left"/>
        <w:tabs>
          <w:tab w:val="left" w:pos="2268"/>
        </w:tabs>
      </w:pPr>
      <w:r>
        <w:t>CALDB</w:t>
      </w:r>
      <w:r>
        <w:tab/>
        <w:t>Companies Auditors and Liquidators Disciplinary Board</w:t>
      </w:r>
    </w:p>
    <w:p w14:paraId="42BCF3A3" w14:textId="4B554CA3" w:rsidR="003772A0" w:rsidRPr="00AB39A0" w:rsidRDefault="003772A0" w:rsidP="00A41A58">
      <w:pPr>
        <w:pStyle w:val="CAR-BodyText-Left"/>
        <w:tabs>
          <w:tab w:val="left" w:pos="2268"/>
        </w:tabs>
      </w:pPr>
      <w:r>
        <w:t>CAANZ</w:t>
      </w:r>
      <w:r>
        <w:tab/>
        <w:t>Chartered Accountants Australia and New Zealand</w:t>
      </w:r>
    </w:p>
    <w:p w14:paraId="0192A149" w14:textId="77777777" w:rsidR="00E7530B" w:rsidRPr="00AB39A0" w:rsidRDefault="00E7530B" w:rsidP="00A41A58">
      <w:pPr>
        <w:pStyle w:val="CAR-BodyText-Left"/>
        <w:tabs>
          <w:tab w:val="left" w:pos="2268"/>
        </w:tabs>
      </w:pPr>
      <w:r w:rsidRPr="00AB39A0">
        <w:t>Corporations Act</w:t>
      </w:r>
      <w:r w:rsidRPr="00AB39A0">
        <w:tab/>
      </w:r>
      <w:r w:rsidRPr="00AB39A0">
        <w:rPr>
          <w:i/>
        </w:rPr>
        <w:t>Corporations Act 2001</w:t>
      </w:r>
    </w:p>
    <w:p w14:paraId="7142294F" w14:textId="77777777" w:rsidR="002E303D" w:rsidRDefault="002E303D" w:rsidP="00A41A58">
      <w:pPr>
        <w:pStyle w:val="CAR-BodyText-Left"/>
        <w:tabs>
          <w:tab w:val="left" w:pos="2268"/>
        </w:tabs>
      </w:pPr>
      <w:r w:rsidRPr="00AB39A0">
        <w:t xml:space="preserve">ESD </w:t>
      </w:r>
      <w:r w:rsidRPr="00AB39A0">
        <w:tab/>
        <w:t>Environmentally sustainable development</w:t>
      </w:r>
    </w:p>
    <w:p w14:paraId="49D844FE" w14:textId="08DBB365" w:rsidR="000562BC" w:rsidRPr="00AB39A0" w:rsidRDefault="000562BC" w:rsidP="00A41A58">
      <w:pPr>
        <w:pStyle w:val="CAR-BodyText-Left"/>
        <w:tabs>
          <w:tab w:val="left" w:pos="2268"/>
        </w:tabs>
      </w:pPr>
      <w:r>
        <w:t>FRC</w:t>
      </w:r>
      <w:r>
        <w:tab/>
        <w:t>Financial Reporting Council</w:t>
      </w:r>
    </w:p>
    <w:p w14:paraId="1237B9F5" w14:textId="77777777" w:rsidR="002E303D" w:rsidRDefault="002E303D" w:rsidP="00A41A58">
      <w:pPr>
        <w:pStyle w:val="CAR-BodyText-Left"/>
        <w:tabs>
          <w:tab w:val="left" w:pos="2268"/>
        </w:tabs>
        <w:rPr>
          <w:i/>
        </w:rPr>
      </w:pPr>
      <w:r w:rsidRPr="00AB39A0">
        <w:t>FOI Act</w:t>
      </w:r>
      <w:r w:rsidR="00D76977" w:rsidRPr="00AB39A0">
        <w:tab/>
      </w:r>
      <w:r w:rsidR="009D7BF7" w:rsidRPr="00AB39A0">
        <w:rPr>
          <w:i/>
        </w:rPr>
        <w:t>Freedom of Information Act 1982</w:t>
      </w:r>
    </w:p>
    <w:p w14:paraId="1F852F88" w14:textId="16AD441F" w:rsidR="00D66703" w:rsidRPr="00D66703" w:rsidRDefault="00D66703" w:rsidP="00A41A58">
      <w:pPr>
        <w:pStyle w:val="CAR-BodyText-Left"/>
        <w:tabs>
          <w:tab w:val="left" w:pos="2268"/>
        </w:tabs>
      </w:pPr>
      <w:r w:rsidRPr="00D66703">
        <w:t>Minister</w:t>
      </w:r>
      <w:r>
        <w:tab/>
        <w:t>Minister for Revenue and Financial Services</w:t>
      </w:r>
    </w:p>
    <w:p w14:paraId="5CB32BC9" w14:textId="3ED0F865" w:rsidR="001E5943" w:rsidRPr="001E5943" w:rsidRDefault="001E5943" w:rsidP="00A41A58">
      <w:pPr>
        <w:pStyle w:val="CAR-BodyText-Left"/>
        <w:tabs>
          <w:tab w:val="left" w:pos="2268"/>
        </w:tabs>
      </w:pPr>
      <w:r w:rsidRPr="00D15F67">
        <w:t>New Act</w:t>
      </w:r>
      <w:r w:rsidRPr="00D15F67">
        <w:tab/>
        <w:t xml:space="preserve">Insolvency Law Reform </w:t>
      </w:r>
      <w:r w:rsidR="003D4134">
        <w:t>Act</w:t>
      </w:r>
      <w:r w:rsidRPr="00D15F67">
        <w:t xml:space="preserve"> 2015</w:t>
      </w:r>
    </w:p>
    <w:p w14:paraId="7EE5AD6A" w14:textId="77777777" w:rsidR="002E303D" w:rsidRDefault="002E303D" w:rsidP="00A41A58">
      <w:pPr>
        <w:pStyle w:val="CAR-BodyText-Left"/>
        <w:tabs>
          <w:tab w:val="left" w:pos="2268"/>
        </w:tabs>
      </w:pPr>
      <w:r w:rsidRPr="00AB39A0">
        <w:t xml:space="preserve">IPS </w:t>
      </w:r>
      <w:r w:rsidRPr="00AB39A0">
        <w:tab/>
        <w:t>Information Publication Scheme</w:t>
      </w:r>
    </w:p>
    <w:p w14:paraId="03A8CF30" w14:textId="010A77A9" w:rsidR="001E5943" w:rsidRPr="00AB39A0" w:rsidRDefault="001E5943" w:rsidP="00D15F67">
      <w:pPr>
        <w:pStyle w:val="CAR-BodyText-Left"/>
        <w:tabs>
          <w:tab w:val="left" w:pos="2268"/>
        </w:tabs>
        <w:ind w:left="2268" w:hanging="2268"/>
      </w:pPr>
      <w:r>
        <w:t>PGPA Act</w:t>
      </w:r>
      <w:r>
        <w:tab/>
        <w:t>Public Governance, Performance and Accountability Act 2013</w:t>
      </w:r>
    </w:p>
    <w:p w14:paraId="4C3AAB4D" w14:textId="77777777" w:rsidR="005B6C28" w:rsidRPr="00AB39A0" w:rsidRDefault="002E303D" w:rsidP="00A41A58">
      <w:pPr>
        <w:pStyle w:val="CAR-BodyText-Left"/>
        <w:tabs>
          <w:tab w:val="left" w:pos="2268"/>
        </w:tabs>
        <w:ind w:left="2268" w:hanging="2268"/>
      </w:pPr>
      <w:r w:rsidRPr="00AB39A0">
        <w:t>PJC</w:t>
      </w:r>
      <w:r w:rsidRPr="00AB39A0">
        <w:tab/>
        <w:t>Parliamentary Joint Committee on Corporations and Financial Services</w:t>
      </w:r>
    </w:p>
    <w:p w14:paraId="01CA831E" w14:textId="77777777" w:rsidR="00E97C49" w:rsidRPr="00AB39A0" w:rsidRDefault="00E97C49" w:rsidP="00487C7E">
      <w:pPr>
        <w:pStyle w:val="CAR-BodyText-Left"/>
        <w:tabs>
          <w:tab w:val="left" w:pos="2410"/>
        </w:tabs>
      </w:pPr>
    </w:p>
    <w:p w14:paraId="5114B6B7" w14:textId="77777777" w:rsidR="003A7F46" w:rsidRPr="00AB39A0" w:rsidRDefault="003A7F46" w:rsidP="00E621BC">
      <w:pPr>
        <w:pStyle w:val="AppendixHeading"/>
        <w:sectPr w:rsidR="003A7F46" w:rsidRPr="00AB39A0" w:rsidSect="000450F5">
          <w:headerReference w:type="default" r:id="rId36"/>
          <w:type w:val="oddPage"/>
          <w:pgSz w:w="11907" w:h="16834" w:code="9"/>
          <w:pgMar w:top="2466" w:right="2098" w:bottom="2466" w:left="2098" w:header="1899" w:footer="1899" w:gutter="0"/>
          <w:cols w:space="720"/>
          <w:docGrid w:linePitch="326"/>
        </w:sectPr>
      </w:pPr>
    </w:p>
    <w:p w14:paraId="22B279C1" w14:textId="77777777" w:rsidR="005B6C28" w:rsidRPr="00AB39A0" w:rsidRDefault="006E37E2" w:rsidP="003E551F">
      <w:pPr>
        <w:pStyle w:val="AppendixHeading"/>
        <w:spacing w:before="360" w:after="180"/>
      </w:pPr>
      <w:bookmarkStart w:id="29" w:name="_Toc460850468"/>
      <w:r w:rsidRPr="00AB39A0">
        <w:lastRenderedPageBreak/>
        <w:t>Appendix 1</w:t>
      </w:r>
      <w:bookmarkEnd w:id="29"/>
    </w:p>
    <w:p w14:paraId="33F5A17A" w14:textId="769A641D" w:rsidR="005B6C28" w:rsidRPr="00AB39A0" w:rsidRDefault="00E573D3" w:rsidP="0000696C">
      <w:pPr>
        <w:pStyle w:val="Heading2"/>
        <w:spacing w:before="180"/>
        <w:jc w:val="both"/>
      </w:pPr>
      <w:bookmarkStart w:id="30" w:name="_Toc460850469"/>
      <w:r>
        <w:t>CADB</w:t>
      </w:r>
      <w:r w:rsidR="005B6C28" w:rsidRPr="00AB39A0">
        <w:t xml:space="preserve"> procedur</w:t>
      </w:r>
      <w:r w:rsidR="006E37E2" w:rsidRPr="00AB39A0">
        <w:t>es with respect to applications</w:t>
      </w:r>
      <w:bookmarkEnd w:id="30"/>
    </w:p>
    <w:p w14:paraId="7140A048" w14:textId="39538EB0" w:rsidR="005B6C28" w:rsidRPr="00AB39A0" w:rsidRDefault="002E303D" w:rsidP="0000696C">
      <w:pPr>
        <w:pStyle w:val="CAR-BodyText-Left"/>
        <w:spacing w:after="180"/>
        <w:jc w:val="both"/>
      </w:pPr>
      <w:r w:rsidRPr="00AB39A0">
        <w:t>A</w:t>
      </w:r>
      <w:r w:rsidR="005B6C28" w:rsidRPr="00AB39A0">
        <w:t xml:space="preserve">pplications to </w:t>
      </w:r>
      <w:r w:rsidR="00E573D3">
        <w:t>CADB</w:t>
      </w:r>
      <w:r w:rsidR="005B6C28" w:rsidRPr="00AB39A0">
        <w:t xml:space="preserve"> may be made by either ASIC or APRA. </w:t>
      </w:r>
    </w:p>
    <w:p w14:paraId="5751D7A0" w14:textId="23EBB173" w:rsidR="005B6C28" w:rsidRPr="00AB39A0" w:rsidRDefault="005B6C28" w:rsidP="0000696C">
      <w:pPr>
        <w:pStyle w:val="CAR-BodyText-Left"/>
        <w:spacing w:after="180"/>
        <w:jc w:val="both"/>
      </w:pPr>
      <w:r w:rsidRPr="00AB39A0">
        <w:t xml:space="preserve">Provisions of the </w:t>
      </w:r>
      <w:r w:rsidR="009D7BF7" w:rsidRPr="00AB39A0">
        <w:t>Corporations Act</w:t>
      </w:r>
      <w:r w:rsidRPr="00AB39A0">
        <w:t xml:space="preserve"> and </w:t>
      </w:r>
      <w:r w:rsidR="009D7BF7" w:rsidRPr="00AB39A0">
        <w:t>ASIC Act</w:t>
      </w:r>
      <w:r w:rsidRPr="00AB39A0">
        <w:t xml:space="preserve"> prescribe the essential procedures. These provide, importantly, that </w:t>
      </w:r>
      <w:r w:rsidR="00E573D3">
        <w:t>CADB</w:t>
      </w:r>
      <w:r w:rsidRPr="00AB39A0">
        <w:t xml:space="preserve"> is required to provide a respondent with the opportunity to appear at a hearing held by </w:t>
      </w:r>
      <w:r w:rsidR="00E573D3">
        <w:t>CADB</w:t>
      </w:r>
      <w:r w:rsidRPr="00AB39A0">
        <w:t xml:space="preserve"> and to make submissions to and adduce evidence before </w:t>
      </w:r>
      <w:r w:rsidR="00E573D3">
        <w:t>CADB</w:t>
      </w:r>
      <w:r w:rsidRPr="00AB39A0">
        <w:t xml:space="preserve"> in relation to a matter. Hearings are conducted by a panel of board members</w:t>
      </w:r>
      <w:r w:rsidR="00BF7B63" w:rsidRPr="00AB39A0">
        <w:t xml:space="preserve"> convened by the Chairperson as required by the ASIC Act</w:t>
      </w:r>
      <w:r w:rsidRPr="00AB39A0">
        <w:t>.</w:t>
      </w:r>
    </w:p>
    <w:p w14:paraId="3972C699" w14:textId="6F8B5202" w:rsidR="005B6C28" w:rsidRPr="00AB39A0" w:rsidRDefault="00E573D3" w:rsidP="0000696C">
      <w:pPr>
        <w:pStyle w:val="CAR-BodyText-Left"/>
        <w:spacing w:after="180"/>
        <w:jc w:val="both"/>
      </w:pPr>
      <w:r>
        <w:t>CADB</w:t>
      </w:r>
      <w:r w:rsidR="005B6C28" w:rsidRPr="00AB39A0">
        <w:t xml:space="preserve"> categorises the matters brought before it as</w:t>
      </w:r>
      <w:r w:rsidR="00EC4AE1">
        <w:t xml:space="preserve"> either</w:t>
      </w:r>
      <w:r w:rsidR="005B6C28" w:rsidRPr="00AB39A0">
        <w:t xml:space="preserve"> </w:t>
      </w:r>
      <w:r w:rsidR="005B6C28" w:rsidRPr="00AB39A0">
        <w:rPr>
          <w:bCs/>
          <w:i/>
        </w:rPr>
        <w:t>a</w:t>
      </w:r>
      <w:r w:rsidR="00EC4AE1">
        <w:rPr>
          <w:bCs/>
          <w:i/>
        </w:rPr>
        <w:t xml:space="preserve">n </w:t>
      </w:r>
      <w:r w:rsidR="00EC4AE1" w:rsidRPr="00EC4AE1">
        <w:rPr>
          <w:b/>
          <w:bCs/>
          <w:i/>
        </w:rPr>
        <w:t>a</w:t>
      </w:r>
      <w:r w:rsidR="005B6C28" w:rsidRPr="00EC4AE1">
        <w:rPr>
          <w:b/>
          <w:bCs/>
          <w:i/>
        </w:rPr>
        <w:t>dministrative</w:t>
      </w:r>
      <w:r w:rsidR="005B6C28" w:rsidRPr="00AB39A0">
        <w:rPr>
          <w:bCs/>
          <w:i/>
        </w:rPr>
        <w:t xml:space="preserve"> matter</w:t>
      </w:r>
      <w:r w:rsidR="005B6C28" w:rsidRPr="00AB39A0">
        <w:t xml:space="preserve"> or </w:t>
      </w:r>
      <w:r w:rsidR="00EC4AE1">
        <w:t xml:space="preserve"> a </w:t>
      </w:r>
      <w:r w:rsidR="005B6C28" w:rsidRPr="00EC4AE1">
        <w:rPr>
          <w:b/>
          <w:bCs/>
          <w:i/>
        </w:rPr>
        <w:t>conduct</w:t>
      </w:r>
      <w:r w:rsidR="005B6C28" w:rsidRPr="00AB39A0">
        <w:rPr>
          <w:bCs/>
          <w:i/>
        </w:rPr>
        <w:t xml:space="preserve"> matter</w:t>
      </w:r>
      <w:r w:rsidR="005B6C28" w:rsidRPr="00AB39A0">
        <w:t xml:space="preserve">. The categorisation has been adopted by </w:t>
      </w:r>
      <w:r>
        <w:t>CADB</w:t>
      </w:r>
      <w:r w:rsidR="005B6C28" w:rsidRPr="00AB39A0">
        <w:t xml:space="preserve"> as a procedural policy and will be reviewed from time to time. In general terms, administrative matters involve less complexity and are less time consuming than conduct matters. </w:t>
      </w:r>
    </w:p>
    <w:p w14:paraId="0339A5C4" w14:textId="3C0656DB" w:rsidR="005B6C28" w:rsidRPr="00AB39A0" w:rsidRDefault="00E573D3" w:rsidP="0000696C">
      <w:pPr>
        <w:pStyle w:val="CAR-BodyText-Left"/>
        <w:spacing w:after="180"/>
        <w:jc w:val="both"/>
      </w:pPr>
      <w:r>
        <w:t>CADB</w:t>
      </w:r>
      <w:r w:rsidR="005B6C28" w:rsidRPr="00AB39A0">
        <w:t xml:space="preserve"> categorises matters that arise from applications pursuant to the following provisions of the </w:t>
      </w:r>
      <w:r w:rsidR="009D7BF7" w:rsidRPr="00AB39A0">
        <w:t>Corporations Act</w:t>
      </w:r>
      <w:r w:rsidR="00EC4AE1">
        <w:t xml:space="preserve"> as </w:t>
      </w:r>
      <w:r w:rsidR="00EC4AE1" w:rsidRPr="00EC4AE1">
        <w:rPr>
          <w:b/>
        </w:rPr>
        <w:t>administrative</w:t>
      </w:r>
      <w:r w:rsidR="00EC4AE1">
        <w:t xml:space="preserve"> matters</w:t>
      </w:r>
      <w:r w:rsidR="005B6C28" w:rsidRPr="00AB39A0">
        <w:t>:</w:t>
      </w:r>
    </w:p>
    <w:tbl>
      <w:tblPr>
        <w:tblW w:w="4883" w:type="pct"/>
        <w:tblInd w:w="108" w:type="dxa"/>
        <w:tblBorders>
          <w:top w:val="single" w:sz="2" w:space="0" w:color="000080"/>
          <w:bottom w:val="single" w:sz="2" w:space="0" w:color="000080"/>
          <w:insideH w:val="single" w:sz="2" w:space="0" w:color="000080"/>
        </w:tblBorders>
        <w:tblLook w:val="01E0" w:firstRow="1" w:lastRow="1" w:firstColumn="1" w:lastColumn="1" w:noHBand="0" w:noVBand="0"/>
      </w:tblPr>
      <w:tblGrid>
        <w:gridCol w:w="1559"/>
        <w:gridCol w:w="6183"/>
      </w:tblGrid>
      <w:tr w:rsidR="00A41A58" w:rsidRPr="00AB39A0" w14:paraId="1B57CA00" w14:textId="77777777" w:rsidTr="00A41A58">
        <w:trPr>
          <w:tblHeader/>
        </w:trPr>
        <w:tc>
          <w:tcPr>
            <w:tcW w:w="1007" w:type="pct"/>
            <w:shd w:val="clear" w:color="auto" w:fill="000080"/>
          </w:tcPr>
          <w:p w14:paraId="01B0DB9C" w14:textId="0614EA3E" w:rsidR="00A41A58" w:rsidRPr="00AB39A0" w:rsidRDefault="00A41A58" w:rsidP="00A41A58">
            <w:pPr>
              <w:pStyle w:val="CAR-TableColHead-Left"/>
              <w:rPr>
                <w:color w:val="FFFFFF" w:themeColor="background1"/>
                <w:sz w:val="18"/>
                <w:szCs w:val="18"/>
              </w:rPr>
            </w:pPr>
            <w:r w:rsidRPr="00AB39A0">
              <w:rPr>
                <w:color w:val="FFFFFF" w:themeColor="background1"/>
                <w:sz w:val="18"/>
                <w:szCs w:val="18"/>
              </w:rPr>
              <w:t>Provision</w:t>
            </w:r>
          </w:p>
        </w:tc>
        <w:tc>
          <w:tcPr>
            <w:tcW w:w="3993" w:type="pct"/>
            <w:shd w:val="clear" w:color="auto" w:fill="000080"/>
          </w:tcPr>
          <w:p w14:paraId="78E59A27" w14:textId="5B4FA315" w:rsidR="00A41A58" w:rsidRPr="00AB39A0" w:rsidRDefault="00A41A58" w:rsidP="00A41A58">
            <w:pPr>
              <w:pStyle w:val="CAR-TableColHead-Left"/>
              <w:rPr>
                <w:color w:val="FFFFFF" w:themeColor="background1"/>
                <w:sz w:val="18"/>
                <w:szCs w:val="18"/>
              </w:rPr>
            </w:pPr>
          </w:p>
        </w:tc>
      </w:tr>
      <w:tr w:rsidR="002E303D" w:rsidRPr="00AB39A0" w14:paraId="62C0C355" w14:textId="77777777" w:rsidTr="00A41A58">
        <w:tc>
          <w:tcPr>
            <w:tcW w:w="1007" w:type="pct"/>
            <w:shd w:val="clear" w:color="auto" w:fill="F2F2F2" w:themeFill="background1" w:themeFillShade="F2"/>
          </w:tcPr>
          <w:p w14:paraId="5598FCEF" w14:textId="77777777" w:rsidR="005B6C28" w:rsidRPr="00AB39A0" w:rsidRDefault="005B6C28" w:rsidP="00A41A58">
            <w:pPr>
              <w:pStyle w:val="CAR-TableText-Left"/>
              <w:spacing w:after="40"/>
              <w:rPr>
                <w:sz w:val="18"/>
                <w:szCs w:val="18"/>
              </w:rPr>
            </w:pPr>
            <w:r w:rsidRPr="00AB39A0">
              <w:rPr>
                <w:sz w:val="18"/>
                <w:szCs w:val="18"/>
              </w:rPr>
              <w:t>subparagraph 1292(1)(a)(i)</w:t>
            </w:r>
          </w:p>
        </w:tc>
        <w:tc>
          <w:tcPr>
            <w:tcW w:w="3993" w:type="pct"/>
            <w:shd w:val="clear" w:color="auto" w:fill="F2F2F2" w:themeFill="background1" w:themeFillShade="F2"/>
          </w:tcPr>
          <w:p w14:paraId="692C4786" w14:textId="62A36D3B" w:rsidR="002E303D" w:rsidRPr="00AB39A0" w:rsidRDefault="005B6C28" w:rsidP="00A41A58">
            <w:pPr>
              <w:pStyle w:val="CAR-TableText-Left"/>
              <w:spacing w:after="40"/>
              <w:rPr>
                <w:sz w:val="18"/>
                <w:szCs w:val="18"/>
              </w:rPr>
            </w:pPr>
            <w:r w:rsidRPr="00AB39A0">
              <w:rPr>
                <w:sz w:val="18"/>
                <w:szCs w:val="18"/>
              </w:rPr>
              <w:t xml:space="preserve">failing to lodge annual statement under </w:t>
            </w:r>
            <w:r w:rsidR="0067103D">
              <w:rPr>
                <w:sz w:val="18"/>
                <w:szCs w:val="18"/>
              </w:rPr>
              <w:t>Section</w:t>
            </w:r>
            <w:r w:rsidRPr="00AB39A0">
              <w:rPr>
                <w:sz w:val="18"/>
                <w:szCs w:val="18"/>
              </w:rPr>
              <w:t xml:space="preserve"> 1287A (auditor)</w:t>
            </w:r>
          </w:p>
        </w:tc>
      </w:tr>
      <w:tr w:rsidR="002E303D" w:rsidRPr="00AB39A0" w14:paraId="298CCDC3" w14:textId="77777777" w:rsidTr="003E551F">
        <w:tc>
          <w:tcPr>
            <w:tcW w:w="1007" w:type="pct"/>
          </w:tcPr>
          <w:p w14:paraId="1812840D" w14:textId="77777777" w:rsidR="002E303D" w:rsidRPr="00AB39A0" w:rsidRDefault="005B6C28" w:rsidP="00AB39A0">
            <w:pPr>
              <w:pStyle w:val="CAR-TableText-Left"/>
              <w:spacing w:before="40" w:after="40"/>
              <w:rPr>
                <w:sz w:val="18"/>
                <w:szCs w:val="18"/>
              </w:rPr>
            </w:pPr>
            <w:r w:rsidRPr="00AB39A0">
              <w:rPr>
                <w:sz w:val="18"/>
                <w:szCs w:val="18"/>
              </w:rPr>
              <w:t>subparagraph 1292(1)(a)(ii)</w:t>
            </w:r>
          </w:p>
        </w:tc>
        <w:tc>
          <w:tcPr>
            <w:tcW w:w="3993" w:type="pct"/>
          </w:tcPr>
          <w:p w14:paraId="196096FB" w14:textId="77777777" w:rsidR="002E303D" w:rsidRPr="00AB39A0" w:rsidRDefault="005B6C28" w:rsidP="00AB39A0">
            <w:pPr>
              <w:pStyle w:val="CAR-TableText-Left"/>
              <w:spacing w:before="40" w:after="40"/>
              <w:rPr>
                <w:sz w:val="18"/>
                <w:szCs w:val="18"/>
              </w:rPr>
            </w:pPr>
            <w:r w:rsidRPr="00AB39A0">
              <w:rPr>
                <w:sz w:val="18"/>
                <w:szCs w:val="18"/>
              </w:rPr>
              <w:t>ceasing to be resident in Australia (auditor)</w:t>
            </w:r>
          </w:p>
        </w:tc>
      </w:tr>
      <w:tr w:rsidR="002E303D" w:rsidRPr="00AB39A0" w14:paraId="41188A78" w14:textId="77777777" w:rsidTr="00A41A58">
        <w:tc>
          <w:tcPr>
            <w:tcW w:w="1007" w:type="pct"/>
            <w:shd w:val="clear" w:color="auto" w:fill="F2F2F2" w:themeFill="background1" w:themeFillShade="F2"/>
          </w:tcPr>
          <w:p w14:paraId="19BE7C9F" w14:textId="77777777" w:rsidR="002E303D" w:rsidRPr="00AB39A0" w:rsidRDefault="005B6C28" w:rsidP="00AB39A0">
            <w:pPr>
              <w:pStyle w:val="CAR-TableText-Left"/>
              <w:spacing w:before="40" w:after="40"/>
              <w:rPr>
                <w:sz w:val="18"/>
                <w:szCs w:val="18"/>
              </w:rPr>
            </w:pPr>
            <w:r w:rsidRPr="00AB39A0">
              <w:rPr>
                <w:sz w:val="18"/>
                <w:szCs w:val="18"/>
              </w:rPr>
              <w:t>subparagraph 1292(2)(a)(i)</w:t>
            </w:r>
          </w:p>
        </w:tc>
        <w:tc>
          <w:tcPr>
            <w:tcW w:w="3993" w:type="pct"/>
            <w:shd w:val="clear" w:color="auto" w:fill="F2F2F2" w:themeFill="background1" w:themeFillShade="F2"/>
          </w:tcPr>
          <w:p w14:paraId="3BBF9DE1" w14:textId="183EA323" w:rsidR="002E303D" w:rsidRPr="00AB39A0" w:rsidRDefault="005B6C28" w:rsidP="00AB39A0">
            <w:pPr>
              <w:pStyle w:val="CAR-TableText-Left"/>
              <w:spacing w:before="40" w:after="40"/>
              <w:rPr>
                <w:sz w:val="18"/>
                <w:szCs w:val="18"/>
              </w:rPr>
            </w:pPr>
            <w:r w:rsidRPr="00AB39A0">
              <w:rPr>
                <w:sz w:val="18"/>
                <w:szCs w:val="18"/>
              </w:rPr>
              <w:t xml:space="preserve">failing to lodge annual statement under </w:t>
            </w:r>
            <w:r w:rsidR="0067103D">
              <w:rPr>
                <w:sz w:val="18"/>
                <w:szCs w:val="18"/>
              </w:rPr>
              <w:t>Section</w:t>
            </w:r>
            <w:r w:rsidRPr="00AB39A0">
              <w:rPr>
                <w:sz w:val="18"/>
                <w:szCs w:val="18"/>
              </w:rPr>
              <w:t xml:space="preserve"> 1288 (liquidator)</w:t>
            </w:r>
            <w:r w:rsidR="00F56B2D">
              <w:rPr>
                <w:sz w:val="18"/>
                <w:szCs w:val="18"/>
              </w:rPr>
              <w:t xml:space="preserve"> </w:t>
            </w:r>
            <w:r w:rsidR="00F56B2D" w:rsidRPr="00F56B2D">
              <w:rPr>
                <w:i/>
                <w:sz w:val="18"/>
                <w:szCs w:val="18"/>
              </w:rPr>
              <w:t>(until 1 March 2017)</w:t>
            </w:r>
          </w:p>
        </w:tc>
      </w:tr>
      <w:tr w:rsidR="002E303D" w:rsidRPr="00AB39A0" w14:paraId="675084E5" w14:textId="77777777" w:rsidTr="003E551F">
        <w:tc>
          <w:tcPr>
            <w:tcW w:w="1007" w:type="pct"/>
          </w:tcPr>
          <w:p w14:paraId="6584ED3E" w14:textId="77777777" w:rsidR="002E303D" w:rsidRPr="00AB39A0" w:rsidRDefault="005B6C28" w:rsidP="00AB39A0">
            <w:pPr>
              <w:pStyle w:val="CAR-TableText-Left"/>
              <w:spacing w:before="40" w:after="40"/>
              <w:rPr>
                <w:sz w:val="18"/>
                <w:szCs w:val="18"/>
              </w:rPr>
            </w:pPr>
            <w:r w:rsidRPr="00AB39A0">
              <w:rPr>
                <w:sz w:val="18"/>
                <w:szCs w:val="18"/>
              </w:rPr>
              <w:t>subparagraph 1292(2)(a)(ii)</w:t>
            </w:r>
          </w:p>
        </w:tc>
        <w:tc>
          <w:tcPr>
            <w:tcW w:w="3993" w:type="pct"/>
          </w:tcPr>
          <w:p w14:paraId="378E4096" w14:textId="4D6D17FB" w:rsidR="002E303D" w:rsidRPr="00AB39A0" w:rsidRDefault="005B6C28" w:rsidP="00AB39A0">
            <w:pPr>
              <w:pStyle w:val="CAR-TableText-Left"/>
              <w:spacing w:before="40" w:after="40"/>
              <w:rPr>
                <w:sz w:val="18"/>
                <w:szCs w:val="18"/>
              </w:rPr>
            </w:pPr>
            <w:r w:rsidRPr="00AB39A0">
              <w:rPr>
                <w:sz w:val="18"/>
                <w:szCs w:val="18"/>
              </w:rPr>
              <w:t>ceasing to be resident in Australia (liquidator)</w:t>
            </w:r>
            <w:r w:rsidR="00F56B2D">
              <w:rPr>
                <w:sz w:val="18"/>
                <w:szCs w:val="18"/>
              </w:rPr>
              <w:t xml:space="preserve"> </w:t>
            </w:r>
            <w:r w:rsidR="00F56B2D" w:rsidRPr="00F56B2D">
              <w:rPr>
                <w:i/>
                <w:sz w:val="18"/>
                <w:szCs w:val="18"/>
              </w:rPr>
              <w:t>(until 1 March 2017)</w:t>
            </w:r>
          </w:p>
        </w:tc>
      </w:tr>
      <w:tr w:rsidR="002E303D" w:rsidRPr="00AB39A0" w14:paraId="6548FF7D" w14:textId="77777777" w:rsidTr="00A41A58">
        <w:tc>
          <w:tcPr>
            <w:tcW w:w="1007" w:type="pct"/>
            <w:shd w:val="clear" w:color="auto" w:fill="F2F2F2" w:themeFill="background1" w:themeFillShade="F2"/>
          </w:tcPr>
          <w:p w14:paraId="17072D32" w14:textId="77777777" w:rsidR="002E303D" w:rsidRPr="00AB39A0" w:rsidRDefault="005B6C28" w:rsidP="00AB39A0">
            <w:pPr>
              <w:pStyle w:val="CAR-TableText-Left"/>
              <w:spacing w:before="40" w:after="40"/>
              <w:rPr>
                <w:sz w:val="18"/>
                <w:szCs w:val="18"/>
              </w:rPr>
            </w:pPr>
            <w:r w:rsidRPr="00AB39A0">
              <w:rPr>
                <w:sz w:val="18"/>
                <w:szCs w:val="18"/>
              </w:rPr>
              <w:t>subparagraph 1292(3)(a)(i)</w:t>
            </w:r>
          </w:p>
        </w:tc>
        <w:tc>
          <w:tcPr>
            <w:tcW w:w="3993" w:type="pct"/>
            <w:shd w:val="clear" w:color="auto" w:fill="F2F2F2" w:themeFill="background1" w:themeFillShade="F2"/>
          </w:tcPr>
          <w:p w14:paraId="095D8F24" w14:textId="014334DF" w:rsidR="002E303D" w:rsidRPr="00AB39A0" w:rsidRDefault="005B6C28" w:rsidP="00AB39A0">
            <w:pPr>
              <w:pStyle w:val="CAR-TableText-Left"/>
              <w:spacing w:before="40" w:after="40"/>
              <w:rPr>
                <w:sz w:val="18"/>
                <w:szCs w:val="18"/>
              </w:rPr>
            </w:pPr>
            <w:r w:rsidRPr="00AB39A0">
              <w:rPr>
                <w:sz w:val="18"/>
                <w:szCs w:val="18"/>
              </w:rPr>
              <w:t xml:space="preserve">failing to lodge a statement under </w:t>
            </w:r>
            <w:r w:rsidR="0067103D">
              <w:rPr>
                <w:sz w:val="18"/>
                <w:szCs w:val="18"/>
              </w:rPr>
              <w:t>Section</w:t>
            </w:r>
            <w:r w:rsidRPr="00AB39A0">
              <w:rPr>
                <w:sz w:val="18"/>
                <w:szCs w:val="18"/>
              </w:rPr>
              <w:t xml:space="preserve"> 1288(5) (liquidator of a specified body corporate)</w:t>
            </w:r>
            <w:r w:rsidR="00F56B2D">
              <w:rPr>
                <w:sz w:val="18"/>
                <w:szCs w:val="18"/>
              </w:rPr>
              <w:t xml:space="preserve"> </w:t>
            </w:r>
            <w:r w:rsidR="00F56B2D" w:rsidRPr="00F56B2D">
              <w:rPr>
                <w:i/>
                <w:sz w:val="18"/>
                <w:szCs w:val="18"/>
              </w:rPr>
              <w:t>(until 1 March 2017)</w:t>
            </w:r>
          </w:p>
        </w:tc>
      </w:tr>
      <w:tr w:rsidR="002E303D" w:rsidRPr="00AB39A0" w14:paraId="7CACF4BA" w14:textId="77777777" w:rsidTr="003E551F">
        <w:tc>
          <w:tcPr>
            <w:tcW w:w="1007" w:type="pct"/>
          </w:tcPr>
          <w:p w14:paraId="3C7E4D14" w14:textId="77777777" w:rsidR="002E303D" w:rsidRPr="00AB39A0" w:rsidRDefault="005B6C28" w:rsidP="00AB39A0">
            <w:pPr>
              <w:pStyle w:val="CAR-TableText-Left"/>
              <w:spacing w:before="40" w:after="40"/>
              <w:rPr>
                <w:sz w:val="18"/>
                <w:szCs w:val="18"/>
              </w:rPr>
            </w:pPr>
            <w:r w:rsidRPr="00AB39A0">
              <w:rPr>
                <w:sz w:val="18"/>
                <w:szCs w:val="18"/>
              </w:rPr>
              <w:t>subparagraph 1292(3)(a)(ii)</w:t>
            </w:r>
          </w:p>
        </w:tc>
        <w:tc>
          <w:tcPr>
            <w:tcW w:w="3993" w:type="pct"/>
          </w:tcPr>
          <w:p w14:paraId="545FDCF8" w14:textId="69406A2E" w:rsidR="002E303D" w:rsidRPr="00F56B2D" w:rsidRDefault="005B6C28" w:rsidP="00AB39A0">
            <w:pPr>
              <w:pStyle w:val="CAR-TableText-Left"/>
              <w:spacing w:before="40" w:after="40"/>
            </w:pPr>
            <w:r w:rsidRPr="00AB39A0">
              <w:rPr>
                <w:sz w:val="18"/>
                <w:szCs w:val="18"/>
              </w:rPr>
              <w:t>ceasing to be resident in Australia (liquidator of a specified body corporate)</w:t>
            </w:r>
            <w:r w:rsidR="00F56B2D" w:rsidRPr="00F56B2D">
              <w:rPr>
                <w:i/>
                <w:sz w:val="18"/>
                <w:szCs w:val="18"/>
              </w:rPr>
              <w:t xml:space="preserve"> (until 1 March 2017)</w:t>
            </w:r>
          </w:p>
        </w:tc>
      </w:tr>
      <w:tr w:rsidR="002E303D" w:rsidRPr="00AB39A0" w14:paraId="2A11B03F" w14:textId="77777777" w:rsidTr="00A41A58">
        <w:tc>
          <w:tcPr>
            <w:tcW w:w="1007" w:type="pct"/>
            <w:shd w:val="clear" w:color="auto" w:fill="F2F2F2" w:themeFill="background1" w:themeFillShade="F2"/>
          </w:tcPr>
          <w:p w14:paraId="12356D39" w14:textId="77777777" w:rsidR="002E303D" w:rsidRPr="00AB39A0" w:rsidRDefault="005B6C28" w:rsidP="00AB39A0">
            <w:pPr>
              <w:pStyle w:val="CAR-TableText-Left"/>
              <w:spacing w:before="40" w:after="40"/>
              <w:rPr>
                <w:sz w:val="18"/>
                <w:szCs w:val="18"/>
              </w:rPr>
            </w:pPr>
            <w:r w:rsidRPr="00AB39A0">
              <w:rPr>
                <w:sz w:val="18"/>
                <w:szCs w:val="18"/>
              </w:rPr>
              <w:t>paragraph 1292(7)(a)</w:t>
            </w:r>
          </w:p>
        </w:tc>
        <w:tc>
          <w:tcPr>
            <w:tcW w:w="3993" w:type="pct"/>
            <w:shd w:val="clear" w:color="auto" w:fill="F2F2F2" w:themeFill="background1" w:themeFillShade="F2"/>
          </w:tcPr>
          <w:p w14:paraId="26ABDB88" w14:textId="21E03E2E" w:rsidR="002E303D" w:rsidRPr="00AB39A0" w:rsidRDefault="005B6C28" w:rsidP="00AB39A0">
            <w:pPr>
              <w:pStyle w:val="CAR-TableText-Left"/>
              <w:spacing w:before="40" w:after="40"/>
              <w:rPr>
                <w:sz w:val="18"/>
                <w:szCs w:val="18"/>
              </w:rPr>
            </w:pPr>
            <w:r w:rsidRPr="00AB39A0">
              <w:rPr>
                <w:sz w:val="18"/>
                <w:szCs w:val="18"/>
              </w:rPr>
              <w:t xml:space="preserve">becoming disqualified from managing corporations under Part 2D.6 (auditor or </w:t>
            </w:r>
            <w:r w:rsidR="00642509">
              <w:rPr>
                <w:sz w:val="18"/>
                <w:szCs w:val="18"/>
              </w:rPr>
              <w:t xml:space="preserve">in </w:t>
            </w:r>
            <w:r w:rsidR="00F56B2D">
              <w:rPr>
                <w:sz w:val="18"/>
                <w:szCs w:val="18"/>
              </w:rPr>
              <w:t xml:space="preserve">the case of a </w:t>
            </w:r>
            <w:r w:rsidRPr="00AB39A0">
              <w:rPr>
                <w:sz w:val="18"/>
                <w:szCs w:val="18"/>
              </w:rPr>
              <w:t>liquidator</w:t>
            </w:r>
            <w:r w:rsidR="00F56B2D">
              <w:rPr>
                <w:sz w:val="18"/>
                <w:szCs w:val="18"/>
              </w:rPr>
              <w:t xml:space="preserve"> </w:t>
            </w:r>
            <w:r w:rsidR="00F56B2D" w:rsidRPr="00F56B2D">
              <w:rPr>
                <w:i/>
                <w:sz w:val="18"/>
                <w:szCs w:val="18"/>
              </w:rPr>
              <w:t>(until 1 March 2017)</w:t>
            </w:r>
            <w:r w:rsidRPr="00AB39A0">
              <w:rPr>
                <w:sz w:val="18"/>
                <w:szCs w:val="18"/>
              </w:rPr>
              <w:t>)</w:t>
            </w:r>
          </w:p>
        </w:tc>
      </w:tr>
      <w:tr w:rsidR="002E303D" w:rsidRPr="00AB39A0" w14:paraId="3C03B079" w14:textId="77777777" w:rsidTr="003E551F">
        <w:tc>
          <w:tcPr>
            <w:tcW w:w="1007" w:type="pct"/>
          </w:tcPr>
          <w:p w14:paraId="03A33170" w14:textId="77777777" w:rsidR="002E303D" w:rsidRPr="00AB39A0" w:rsidRDefault="005B6C28" w:rsidP="00AB39A0">
            <w:pPr>
              <w:pStyle w:val="CAR-TableText-Left"/>
              <w:spacing w:before="40" w:after="40"/>
              <w:rPr>
                <w:sz w:val="18"/>
                <w:szCs w:val="18"/>
              </w:rPr>
            </w:pPr>
            <w:r w:rsidRPr="00AB39A0">
              <w:rPr>
                <w:sz w:val="18"/>
                <w:szCs w:val="18"/>
              </w:rPr>
              <w:t>paragraph 1292(7)(b)</w:t>
            </w:r>
          </w:p>
        </w:tc>
        <w:tc>
          <w:tcPr>
            <w:tcW w:w="3993" w:type="pct"/>
          </w:tcPr>
          <w:p w14:paraId="26AC5348" w14:textId="18110E5E" w:rsidR="002E303D" w:rsidRPr="00AB39A0" w:rsidRDefault="005B6C28" w:rsidP="00AB39A0">
            <w:pPr>
              <w:pStyle w:val="CAR-TableText-Left"/>
              <w:spacing w:before="40" w:after="40"/>
              <w:rPr>
                <w:sz w:val="18"/>
                <w:szCs w:val="18"/>
              </w:rPr>
            </w:pPr>
            <w:r w:rsidRPr="00AB39A0">
              <w:rPr>
                <w:sz w:val="18"/>
                <w:szCs w:val="18"/>
              </w:rPr>
              <w:t xml:space="preserve">becoming incapable because of mental infirmity of managing affairs (auditor or </w:t>
            </w:r>
            <w:r w:rsidR="00F56B2D">
              <w:rPr>
                <w:sz w:val="18"/>
                <w:szCs w:val="18"/>
              </w:rPr>
              <w:t xml:space="preserve">in the case of a </w:t>
            </w:r>
            <w:r w:rsidRPr="00AB39A0">
              <w:rPr>
                <w:sz w:val="18"/>
                <w:szCs w:val="18"/>
              </w:rPr>
              <w:t>liquidator</w:t>
            </w:r>
            <w:r w:rsidR="006473DE">
              <w:rPr>
                <w:sz w:val="18"/>
                <w:szCs w:val="18"/>
              </w:rPr>
              <w:t xml:space="preserve"> </w:t>
            </w:r>
            <w:r w:rsidR="00F56B2D" w:rsidRPr="00F56B2D">
              <w:rPr>
                <w:i/>
                <w:sz w:val="18"/>
                <w:szCs w:val="18"/>
              </w:rPr>
              <w:t>(until 1 March 2017)</w:t>
            </w:r>
            <w:r w:rsidRPr="00AB39A0">
              <w:rPr>
                <w:sz w:val="18"/>
                <w:szCs w:val="18"/>
              </w:rPr>
              <w:t>)</w:t>
            </w:r>
          </w:p>
        </w:tc>
      </w:tr>
    </w:tbl>
    <w:p w14:paraId="338FC4CC" w14:textId="39CF0843" w:rsidR="005B6C28" w:rsidRPr="00AB39A0" w:rsidRDefault="00755D7D" w:rsidP="0000696C">
      <w:pPr>
        <w:pStyle w:val="CAR-BodyText-Left"/>
        <w:jc w:val="both"/>
      </w:pPr>
      <w:r w:rsidRPr="00AB39A0">
        <w:br w:type="page"/>
      </w:r>
      <w:r w:rsidR="00E573D3">
        <w:lastRenderedPageBreak/>
        <w:t>CADB</w:t>
      </w:r>
      <w:r w:rsidR="005B6C28" w:rsidRPr="00AB39A0">
        <w:t xml:space="preserve"> categorises matters </w:t>
      </w:r>
      <w:r w:rsidR="00BF7B63" w:rsidRPr="00AB39A0">
        <w:t>that</w:t>
      </w:r>
      <w:r w:rsidR="005B6C28" w:rsidRPr="00AB39A0">
        <w:t xml:space="preserve"> arise from applications pursuant to the following provisions of the </w:t>
      </w:r>
      <w:r w:rsidR="009D7BF7" w:rsidRPr="00AB39A0">
        <w:t>Corporations Act</w:t>
      </w:r>
      <w:r w:rsidR="00EC4AE1">
        <w:t xml:space="preserve"> as </w:t>
      </w:r>
      <w:r w:rsidR="00EC4AE1" w:rsidRPr="00EC4AE1">
        <w:rPr>
          <w:b/>
        </w:rPr>
        <w:t>conduct</w:t>
      </w:r>
      <w:r w:rsidR="00EC4AE1">
        <w:t xml:space="preserve"> matters</w:t>
      </w:r>
      <w:r w:rsidR="005B6C28" w:rsidRPr="00AB39A0">
        <w:t>:</w:t>
      </w:r>
    </w:p>
    <w:tbl>
      <w:tblPr>
        <w:tblW w:w="4883" w:type="pct"/>
        <w:tblInd w:w="108" w:type="dxa"/>
        <w:tblBorders>
          <w:top w:val="single" w:sz="2" w:space="0" w:color="000080"/>
          <w:bottom w:val="single" w:sz="2" w:space="0" w:color="000080"/>
          <w:insideH w:val="single" w:sz="2" w:space="0" w:color="000080"/>
        </w:tblBorders>
        <w:tblLook w:val="01E0" w:firstRow="1" w:lastRow="1" w:firstColumn="1" w:lastColumn="1" w:noHBand="0" w:noVBand="0"/>
      </w:tblPr>
      <w:tblGrid>
        <w:gridCol w:w="1730"/>
        <w:gridCol w:w="6012"/>
      </w:tblGrid>
      <w:tr w:rsidR="00AB39A0" w:rsidRPr="00AB39A0" w14:paraId="13490BBB" w14:textId="77777777" w:rsidTr="00AB39A0">
        <w:trPr>
          <w:tblHeader/>
        </w:trPr>
        <w:tc>
          <w:tcPr>
            <w:tcW w:w="1117" w:type="pct"/>
            <w:shd w:val="clear" w:color="auto" w:fill="000080"/>
          </w:tcPr>
          <w:p w14:paraId="0F956EB8" w14:textId="12CC0529" w:rsidR="00AB39A0" w:rsidRPr="00AB39A0" w:rsidRDefault="00AB39A0" w:rsidP="00AB39A0">
            <w:pPr>
              <w:pStyle w:val="CAR-TableColHead-Left"/>
              <w:rPr>
                <w:color w:val="FFFFFF" w:themeColor="background1"/>
                <w:sz w:val="18"/>
                <w:szCs w:val="18"/>
              </w:rPr>
            </w:pPr>
            <w:r w:rsidRPr="00AB39A0">
              <w:rPr>
                <w:color w:val="FFFFFF" w:themeColor="background1"/>
                <w:sz w:val="18"/>
                <w:szCs w:val="18"/>
              </w:rPr>
              <w:t>Provisions</w:t>
            </w:r>
          </w:p>
        </w:tc>
        <w:tc>
          <w:tcPr>
            <w:tcW w:w="3883" w:type="pct"/>
            <w:shd w:val="clear" w:color="auto" w:fill="000080"/>
          </w:tcPr>
          <w:p w14:paraId="72C539D8" w14:textId="77777777" w:rsidR="00AB39A0" w:rsidRPr="00AB39A0" w:rsidRDefault="00AB39A0" w:rsidP="00AB39A0">
            <w:pPr>
              <w:pStyle w:val="CAR-TableColHead-Left"/>
              <w:rPr>
                <w:color w:val="FFFFFF" w:themeColor="background1"/>
                <w:sz w:val="18"/>
                <w:szCs w:val="18"/>
              </w:rPr>
            </w:pPr>
          </w:p>
        </w:tc>
      </w:tr>
      <w:tr w:rsidR="002E303D" w:rsidRPr="00AB39A0" w14:paraId="3F220C17" w14:textId="77777777" w:rsidTr="00AB39A0">
        <w:tc>
          <w:tcPr>
            <w:tcW w:w="1117" w:type="pct"/>
            <w:shd w:val="clear" w:color="auto" w:fill="F2F2F2" w:themeFill="background1" w:themeFillShade="F2"/>
          </w:tcPr>
          <w:p w14:paraId="2D7D82E1" w14:textId="77777777" w:rsidR="002E303D" w:rsidRPr="00AB39A0" w:rsidRDefault="005B6C28" w:rsidP="00AB39A0">
            <w:pPr>
              <w:pStyle w:val="CAR-TableText-Left"/>
              <w:rPr>
                <w:sz w:val="18"/>
                <w:szCs w:val="18"/>
              </w:rPr>
            </w:pPr>
            <w:r w:rsidRPr="00AB39A0">
              <w:rPr>
                <w:sz w:val="18"/>
                <w:szCs w:val="18"/>
              </w:rPr>
              <w:t>subparagraph 1292(1)(a)(ia)</w:t>
            </w:r>
          </w:p>
        </w:tc>
        <w:tc>
          <w:tcPr>
            <w:tcW w:w="3883" w:type="pct"/>
            <w:shd w:val="clear" w:color="auto" w:fill="F2F2F2" w:themeFill="background1" w:themeFillShade="F2"/>
          </w:tcPr>
          <w:p w14:paraId="4312B121" w14:textId="38DE59B5" w:rsidR="002E303D" w:rsidRPr="00AB39A0" w:rsidRDefault="005B6C28" w:rsidP="00AB39A0">
            <w:pPr>
              <w:pStyle w:val="CAR-TableText-Left"/>
              <w:rPr>
                <w:sz w:val="18"/>
                <w:szCs w:val="18"/>
              </w:rPr>
            </w:pPr>
            <w:r w:rsidRPr="00AB39A0">
              <w:rPr>
                <w:sz w:val="18"/>
                <w:szCs w:val="18"/>
              </w:rPr>
              <w:t xml:space="preserve">contravening </w:t>
            </w:r>
            <w:r w:rsidR="0067103D">
              <w:rPr>
                <w:sz w:val="18"/>
                <w:szCs w:val="18"/>
              </w:rPr>
              <w:t>Section</w:t>
            </w:r>
            <w:r w:rsidRPr="00AB39A0">
              <w:rPr>
                <w:sz w:val="18"/>
                <w:szCs w:val="18"/>
              </w:rPr>
              <w:t xml:space="preserve"> 324DB by playing a significant role in an audit without being eligible to do so (auditor)</w:t>
            </w:r>
          </w:p>
        </w:tc>
      </w:tr>
      <w:tr w:rsidR="002E303D" w:rsidRPr="00AB39A0" w14:paraId="6B4C1545" w14:textId="77777777" w:rsidTr="00755D7D">
        <w:tc>
          <w:tcPr>
            <w:tcW w:w="1117" w:type="pct"/>
          </w:tcPr>
          <w:p w14:paraId="1836A4AD" w14:textId="77777777" w:rsidR="002E303D" w:rsidRPr="00AB39A0" w:rsidRDefault="005B6C28" w:rsidP="00AB39A0">
            <w:pPr>
              <w:pStyle w:val="CAR-TableText-Left"/>
              <w:rPr>
                <w:sz w:val="18"/>
                <w:szCs w:val="18"/>
              </w:rPr>
            </w:pPr>
            <w:r w:rsidRPr="00AB39A0">
              <w:rPr>
                <w:sz w:val="18"/>
                <w:szCs w:val="18"/>
              </w:rPr>
              <w:t>subparagraph 1292(1)(a)(ia)</w:t>
            </w:r>
          </w:p>
        </w:tc>
        <w:tc>
          <w:tcPr>
            <w:tcW w:w="3883" w:type="pct"/>
          </w:tcPr>
          <w:p w14:paraId="03583DEB" w14:textId="77777777" w:rsidR="002E303D" w:rsidRPr="00AB39A0" w:rsidRDefault="005B6C28" w:rsidP="00AB39A0">
            <w:pPr>
              <w:pStyle w:val="CAR-TableText-Left"/>
              <w:rPr>
                <w:sz w:val="18"/>
                <w:szCs w:val="18"/>
              </w:rPr>
            </w:pPr>
            <w:r w:rsidRPr="00AB39A0">
              <w:rPr>
                <w:sz w:val="18"/>
                <w:szCs w:val="18"/>
              </w:rPr>
              <w:t>failing to comply with a condition of registration (auditor)</w:t>
            </w:r>
          </w:p>
        </w:tc>
      </w:tr>
      <w:tr w:rsidR="002E303D" w:rsidRPr="00AB39A0" w14:paraId="24B2FA90" w14:textId="77777777" w:rsidTr="00AB39A0">
        <w:tc>
          <w:tcPr>
            <w:tcW w:w="1117" w:type="pct"/>
            <w:shd w:val="clear" w:color="auto" w:fill="F2F2F2" w:themeFill="background1" w:themeFillShade="F2"/>
          </w:tcPr>
          <w:p w14:paraId="60D8DB0C" w14:textId="77777777" w:rsidR="002E303D" w:rsidRPr="00AB39A0" w:rsidRDefault="005B6C28" w:rsidP="00AB39A0">
            <w:pPr>
              <w:pStyle w:val="CAR-TableText-Left"/>
              <w:rPr>
                <w:sz w:val="18"/>
                <w:szCs w:val="18"/>
              </w:rPr>
            </w:pPr>
            <w:r w:rsidRPr="00AB39A0">
              <w:rPr>
                <w:sz w:val="18"/>
                <w:szCs w:val="18"/>
              </w:rPr>
              <w:t>subparagraph 1292(1)(b)(i)</w:t>
            </w:r>
          </w:p>
        </w:tc>
        <w:tc>
          <w:tcPr>
            <w:tcW w:w="3883" w:type="pct"/>
            <w:shd w:val="clear" w:color="auto" w:fill="F2F2F2" w:themeFill="background1" w:themeFillShade="F2"/>
          </w:tcPr>
          <w:p w14:paraId="7A58333F" w14:textId="4EA1C232" w:rsidR="002E303D" w:rsidRPr="00AB39A0" w:rsidRDefault="005B6C28" w:rsidP="00AB39A0">
            <w:pPr>
              <w:pStyle w:val="CAR-TableText-Left"/>
              <w:rPr>
                <w:sz w:val="18"/>
                <w:szCs w:val="18"/>
              </w:rPr>
            </w:pPr>
            <w:r w:rsidRPr="00AB39A0">
              <w:rPr>
                <w:sz w:val="18"/>
                <w:szCs w:val="18"/>
              </w:rPr>
              <w:t>not performing any audit work for five years and</w:t>
            </w:r>
            <w:r w:rsidR="006473DE">
              <w:rPr>
                <w:sz w:val="18"/>
                <w:szCs w:val="18"/>
              </w:rPr>
              <w:t>,</w:t>
            </w:r>
            <w:r w:rsidRPr="00AB39A0">
              <w:rPr>
                <w:sz w:val="18"/>
                <w:szCs w:val="18"/>
              </w:rPr>
              <w:t xml:space="preserve"> as a result</w:t>
            </w:r>
            <w:r w:rsidR="006473DE">
              <w:rPr>
                <w:sz w:val="18"/>
                <w:szCs w:val="18"/>
              </w:rPr>
              <w:t>,</w:t>
            </w:r>
            <w:r w:rsidRPr="00AB39A0">
              <w:rPr>
                <w:sz w:val="18"/>
                <w:szCs w:val="18"/>
              </w:rPr>
              <w:t xml:space="preserve"> ceasing to have the necessary practical experience (auditor)</w:t>
            </w:r>
          </w:p>
        </w:tc>
      </w:tr>
      <w:tr w:rsidR="002E303D" w:rsidRPr="00AB39A0" w14:paraId="5B4962BE" w14:textId="77777777" w:rsidTr="00755D7D">
        <w:tc>
          <w:tcPr>
            <w:tcW w:w="1117" w:type="pct"/>
          </w:tcPr>
          <w:p w14:paraId="014337C4" w14:textId="77777777" w:rsidR="002E303D" w:rsidRPr="00AB39A0" w:rsidRDefault="005B6C28" w:rsidP="00AB39A0">
            <w:pPr>
              <w:pStyle w:val="CAR-TableText-Left"/>
              <w:rPr>
                <w:sz w:val="18"/>
                <w:szCs w:val="18"/>
              </w:rPr>
            </w:pPr>
            <w:r w:rsidRPr="00AB39A0">
              <w:rPr>
                <w:sz w:val="18"/>
                <w:szCs w:val="18"/>
              </w:rPr>
              <w:t>subparagraph 1292(1)(b)(ii)</w:t>
            </w:r>
          </w:p>
        </w:tc>
        <w:tc>
          <w:tcPr>
            <w:tcW w:w="3883" w:type="pct"/>
          </w:tcPr>
          <w:p w14:paraId="0ABEF854" w14:textId="1E8A6698" w:rsidR="002E303D" w:rsidRPr="00AB39A0" w:rsidRDefault="005B6C28" w:rsidP="00AB39A0">
            <w:pPr>
              <w:pStyle w:val="CAR-TableText-Left"/>
              <w:rPr>
                <w:sz w:val="18"/>
                <w:szCs w:val="18"/>
              </w:rPr>
            </w:pPr>
            <w:r w:rsidRPr="00AB39A0">
              <w:rPr>
                <w:sz w:val="18"/>
                <w:szCs w:val="18"/>
              </w:rPr>
              <w:t>not performing any significant audit work for five years and</w:t>
            </w:r>
            <w:r w:rsidR="004D67F9">
              <w:rPr>
                <w:sz w:val="18"/>
                <w:szCs w:val="18"/>
              </w:rPr>
              <w:t>,</w:t>
            </w:r>
            <w:r w:rsidRPr="00AB39A0">
              <w:rPr>
                <w:sz w:val="18"/>
                <w:szCs w:val="18"/>
              </w:rPr>
              <w:t xml:space="preserve"> as a result</w:t>
            </w:r>
            <w:r w:rsidR="000B24C5">
              <w:rPr>
                <w:sz w:val="18"/>
                <w:szCs w:val="18"/>
              </w:rPr>
              <w:t>,</w:t>
            </w:r>
            <w:r w:rsidRPr="00AB39A0">
              <w:rPr>
                <w:sz w:val="18"/>
                <w:szCs w:val="18"/>
              </w:rPr>
              <w:t xml:space="preserve"> ceasing to have the necessary practical experience (auditor)</w:t>
            </w:r>
          </w:p>
        </w:tc>
      </w:tr>
      <w:tr w:rsidR="002E303D" w:rsidRPr="00AB39A0" w14:paraId="5FB9A5BD" w14:textId="77777777" w:rsidTr="00AB39A0">
        <w:tc>
          <w:tcPr>
            <w:tcW w:w="1117" w:type="pct"/>
            <w:shd w:val="clear" w:color="auto" w:fill="F2F2F2" w:themeFill="background1" w:themeFillShade="F2"/>
          </w:tcPr>
          <w:p w14:paraId="295DE928" w14:textId="77777777" w:rsidR="002E303D" w:rsidRPr="00AB39A0" w:rsidRDefault="005B6C28" w:rsidP="00AB39A0">
            <w:pPr>
              <w:pStyle w:val="CAR-TableText-Left"/>
              <w:rPr>
                <w:sz w:val="18"/>
                <w:szCs w:val="18"/>
              </w:rPr>
            </w:pPr>
            <w:r w:rsidRPr="00AB39A0">
              <w:rPr>
                <w:sz w:val="18"/>
                <w:szCs w:val="18"/>
              </w:rPr>
              <w:t>subparagraph 1292(1)(d)(i)</w:t>
            </w:r>
          </w:p>
        </w:tc>
        <w:tc>
          <w:tcPr>
            <w:tcW w:w="3883" w:type="pct"/>
            <w:shd w:val="clear" w:color="auto" w:fill="F2F2F2" w:themeFill="background1" w:themeFillShade="F2"/>
          </w:tcPr>
          <w:p w14:paraId="12C66266" w14:textId="77777777" w:rsidR="002E303D" w:rsidRPr="00AB39A0" w:rsidRDefault="005B6C28" w:rsidP="00AB39A0">
            <w:pPr>
              <w:pStyle w:val="CAR-TableText-Left"/>
              <w:rPr>
                <w:sz w:val="18"/>
                <w:szCs w:val="18"/>
              </w:rPr>
            </w:pPr>
            <w:r w:rsidRPr="00AB39A0">
              <w:rPr>
                <w:sz w:val="18"/>
                <w:szCs w:val="18"/>
              </w:rPr>
              <w:t>failing to carry out the duties of an auditor (auditor)</w:t>
            </w:r>
          </w:p>
        </w:tc>
      </w:tr>
      <w:tr w:rsidR="002E303D" w:rsidRPr="00AB39A0" w14:paraId="4203056B" w14:textId="77777777" w:rsidTr="00755D7D">
        <w:tc>
          <w:tcPr>
            <w:tcW w:w="1117" w:type="pct"/>
          </w:tcPr>
          <w:p w14:paraId="701836D3" w14:textId="77777777" w:rsidR="002E303D" w:rsidRPr="00AB39A0" w:rsidRDefault="005B6C28" w:rsidP="00AB39A0">
            <w:pPr>
              <w:pStyle w:val="CAR-TableText-Left"/>
              <w:rPr>
                <w:sz w:val="18"/>
                <w:szCs w:val="18"/>
              </w:rPr>
            </w:pPr>
            <w:r w:rsidRPr="00AB39A0">
              <w:rPr>
                <w:sz w:val="18"/>
                <w:szCs w:val="18"/>
              </w:rPr>
              <w:t>subparagraph 1292(1)(d)(ii)</w:t>
            </w:r>
          </w:p>
        </w:tc>
        <w:tc>
          <w:tcPr>
            <w:tcW w:w="3883" w:type="pct"/>
          </w:tcPr>
          <w:p w14:paraId="6BFC1D75" w14:textId="77777777" w:rsidR="002E303D" w:rsidRPr="00AB39A0" w:rsidRDefault="005B6C28" w:rsidP="00AB39A0">
            <w:pPr>
              <w:pStyle w:val="CAR-TableText-Left"/>
              <w:rPr>
                <w:sz w:val="18"/>
                <w:szCs w:val="18"/>
              </w:rPr>
            </w:pPr>
            <w:r w:rsidRPr="00AB39A0">
              <w:rPr>
                <w:sz w:val="18"/>
                <w:szCs w:val="18"/>
              </w:rPr>
              <w:t>failing to carry out any duties or functions required by an Australian law to be carried out by a registered auditor (auditor)</w:t>
            </w:r>
          </w:p>
        </w:tc>
      </w:tr>
      <w:tr w:rsidR="002E303D" w:rsidRPr="00AB39A0" w14:paraId="6BA404C5" w14:textId="77777777" w:rsidTr="00AB39A0">
        <w:tc>
          <w:tcPr>
            <w:tcW w:w="1117" w:type="pct"/>
            <w:shd w:val="clear" w:color="auto" w:fill="F2F2F2" w:themeFill="background1" w:themeFillShade="F2"/>
          </w:tcPr>
          <w:p w14:paraId="08F3B3B7" w14:textId="77777777" w:rsidR="002E303D" w:rsidRPr="00AB39A0" w:rsidRDefault="005B6C28" w:rsidP="00AB39A0">
            <w:pPr>
              <w:pStyle w:val="CAR-TableText-Left"/>
              <w:rPr>
                <w:sz w:val="18"/>
                <w:szCs w:val="18"/>
              </w:rPr>
            </w:pPr>
            <w:r w:rsidRPr="00AB39A0">
              <w:rPr>
                <w:sz w:val="18"/>
                <w:szCs w:val="18"/>
              </w:rPr>
              <w:t>paragraph 1292(1)(d)</w:t>
            </w:r>
          </w:p>
        </w:tc>
        <w:tc>
          <w:tcPr>
            <w:tcW w:w="3883" w:type="pct"/>
            <w:shd w:val="clear" w:color="auto" w:fill="F2F2F2" w:themeFill="background1" w:themeFillShade="F2"/>
          </w:tcPr>
          <w:p w14:paraId="08421ECB" w14:textId="77777777" w:rsidR="002E303D" w:rsidRPr="00AB39A0" w:rsidRDefault="005B6C28" w:rsidP="00AB39A0">
            <w:pPr>
              <w:pStyle w:val="CAR-TableText-Left"/>
              <w:rPr>
                <w:sz w:val="18"/>
                <w:szCs w:val="18"/>
              </w:rPr>
            </w:pPr>
            <w:r w:rsidRPr="00AB39A0">
              <w:rPr>
                <w:sz w:val="18"/>
                <w:szCs w:val="18"/>
              </w:rPr>
              <w:t>not being a fit and proper person to remain registered as an auditor (auditor)</w:t>
            </w:r>
          </w:p>
        </w:tc>
      </w:tr>
      <w:tr w:rsidR="002E303D" w:rsidRPr="00AB39A0" w14:paraId="7AA6FC7E" w14:textId="77777777" w:rsidTr="00755D7D">
        <w:tc>
          <w:tcPr>
            <w:tcW w:w="1117" w:type="pct"/>
          </w:tcPr>
          <w:p w14:paraId="0E57EE28" w14:textId="77777777" w:rsidR="002E303D" w:rsidRPr="00AB39A0" w:rsidRDefault="005B6C28" w:rsidP="00AB39A0">
            <w:pPr>
              <w:pStyle w:val="CAR-TableText-Left"/>
              <w:rPr>
                <w:sz w:val="18"/>
                <w:szCs w:val="18"/>
              </w:rPr>
            </w:pPr>
            <w:r w:rsidRPr="00AB39A0">
              <w:rPr>
                <w:sz w:val="18"/>
                <w:szCs w:val="18"/>
              </w:rPr>
              <w:t>subparagraph 1292(2)(d)(i)</w:t>
            </w:r>
          </w:p>
        </w:tc>
        <w:tc>
          <w:tcPr>
            <w:tcW w:w="3883" w:type="pct"/>
          </w:tcPr>
          <w:p w14:paraId="5E584048" w14:textId="16CDBE0C" w:rsidR="002E303D" w:rsidRPr="00AB39A0" w:rsidRDefault="005B6C28" w:rsidP="00AB39A0">
            <w:pPr>
              <w:pStyle w:val="CAR-TableText-Left"/>
              <w:rPr>
                <w:sz w:val="18"/>
                <w:szCs w:val="18"/>
              </w:rPr>
            </w:pPr>
            <w:r w:rsidRPr="00AB39A0">
              <w:rPr>
                <w:sz w:val="18"/>
                <w:szCs w:val="18"/>
              </w:rPr>
              <w:t>failing to carry out the duties of a liquidator (liquidator)</w:t>
            </w:r>
            <w:r w:rsidR="00F56B2D">
              <w:rPr>
                <w:sz w:val="18"/>
                <w:szCs w:val="18"/>
              </w:rPr>
              <w:t xml:space="preserve"> </w:t>
            </w:r>
            <w:r w:rsidR="00F56B2D" w:rsidRPr="00F56B2D">
              <w:rPr>
                <w:i/>
                <w:sz w:val="18"/>
                <w:szCs w:val="18"/>
              </w:rPr>
              <w:t>(until 1 March 2017)</w:t>
            </w:r>
          </w:p>
        </w:tc>
      </w:tr>
      <w:tr w:rsidR="002E303D" w:rsidRPr="00AB39A0" w14:paraId="333939D5" w14:textId="77777777" w:rsidTr="00AB39A0">
        <w:tc>
          <w:tcPr>
            <w:tcW w:w="1117" w:type="pct"/>
            <w:shd w:val="clear" w:color="auto" w:fill="F2F2F2" w:themeFill="background1" w:themeFillShade="F2"/>
          </w:tcPr>
          <w:p w14:paraId="73317504" w14:textId="77777777" w:rsidR="002E303D" w:rsidRPr="00AB39A0" w:rsidRDefault="005B6C28" w:rsidP="00AB39A0">
            <w:pPr>
              <w:pStyle w:val="CAR-TableText-Left"/>
              <w:rPr>
                <w:sz w:val="18"/>
                <w:szCs w:val="18"/>
              </w:rPr>
            </w:pPr>
            <w:r w:rsidRPr="00AB39A0">
              <w:rPr>
                <w:sz w:val="18"/>
                <w:szCs w:val="18"/>
              </w:rPr>
              <w:t>subparagraph 1292(2)(d)(ii)</w:t>
            </w:r>
          </w:p>
        </w:tc>
        <w:tc>
          <w:tcPr>
            <w:tcW w:w="3883" w:type="pct"/>
            <w:shd w:val="clear" w:color="auto" w:fill="F2F2F2" w:themeFill="background1" w:themeFillShade="F2"/>
          </w:tcPr>
          <w:p w14:paraId="4B631569" w14:textId="282BF11C" w:rsidR="002E303D" w:rsidRPr="00AB39A0" w:rsidRDefault="005B6C28" w:rsidP="00AB39A0">
            <w:pPr>
              <w:pStyle w:val="CAR-TableText-Left"/>
              <w:rPr>
                <w:sz w:val="18"/>
                <w:szCs w:val="18"/>
              </w:rPr>
            </w:pPr>
            <w:r w:rsidRPr="00AB39A0">
              <w:rPr>
                <w:sz w:val="18"/>
                <w:szCs w:val="18"/>
              </w:rPr>
              <w:t>failing to carry out any duties or functions required by an Australian law to be carried out by a registered liquidator (liquidator)</w:t>
            </w:r>
            <w:r w:rsidR="00F56B2D">
              <w:rPr>
                <w:sz w:val="18"/>
                <w:szCs w:val="18"/>
              </w:rPr>
              <w:t xml:space="preserve"> </w:t>
            </w:r>
            <w:r w:rsidR="00F56B2D" w:rsidRPr="00F56B2D">
              <w:rPr>
                <w:i/>
                <w:sz w:val="18"/>
                <w:szCs w:val="18"/>
              </w:rPr>
              <w:t>(until 1 March 2017)</w:t>
            </w:r>
          </w:p>
        </w:tc>
      </w:tr>
      <w:tr w:rsidR="002E303D" w:rsidRPr="00AB39A0" w14:paraId="2848163B" w14:textId="77777777" w:rsidTr="00755D7D">
        <w:tc>
          <w:tcPr>
            <w:tcW w:w="1117" w:type="pct"/>
          </w:tcPr>
          <w:p w14:paraId="356C6E4E" w14:textId="77777777" w:rsidR="002E303D" w:rsidRPr="00AB39A0" w:rsidRDefault="005B6C28" w:rsidP="00AB39A0">
            <w:pPr>
              <w:pStyle w:val="CAR-TableText-Left"/>
              <w:rPr>
                <w:sz w:val="18"/>
                <w:szCs w:val="18"/>
              </w:rPr>
            </w:pPr>
            <w:r w:rsidRPr="00AB39A0">
              <w:rPr>
                <w:sz w:val="18"/>
                <w:szCs w:val="18"/>
              </w:rPr>
              <w:t>paragraph 1292(2)(d)</w:t>
            </w:r>
          </w:p>
        </w:tc>
        <w:tc>
          <w:tcPr>
            <w:tcW w:w="3883" w:type="pct"/>
          </w:tcPr>
          <w:p w14:paraId="1BD07C95" w14:textId="40857002" w:rsidR="002E303D" w:rsidRPr="00AB39A0" w:rsidRDefault="005B6C28" w:rsidP="00AB39A0">
            <w:pPr>
              <w:pStyle w:val="CAR-TableText-Left"/>
              <w:rPr>
                <w:sz w:val="18"/>
                <w:szCs w:val="18"/>
              </w:rPr>
            </w:pPr>
            <w:r w:rsidRPr="00AB39A0">
              <w:rPr>
                <w:sz w:val="18"/>
                <w:szCs w:val="18"/>
              </w:rPr>
              <w:t>not being a fit and proper person to remain registered as a liquidator (liquidator)</w:t>
            </w:r>
            <w:r w:rsidR="00F56B2D">
              <w:rPr>
                <w:sz w:val="18"/>
                <w:szCs w:val="18"/>
              </w:rPr>
              <w:t xml:space="preserve"> </w:t>
            </w:r>
            <w:r w:rsidR="00F56B2D" w:rsidRPr="00F56B2D">
              <w:rPr>
                <w:i/>
                <w:sz w:val="18"/>
                <w:szCs w:val="18"/>
              </w:rPr>
              <w:t>(until 1 March 2017)</w:t>
            </w:r>
          </w:p>
        </w:tc>
      </w:tr>
      <w:tr w:rsidR="002E303D" w:rsidRPr="00AB39A0" w14:paraId="4F16ACB9" w14:textId="77777777" w:rsidTr="00AB39A0">
        <w:tc>
          <w:tcPr>
            <w:tcW w:w="1117" w:type="pct"/>
            <w:shd w:val="clear" w:color="auto" w:fill="F2F2F2" w:themeFill="background1" w:themeFillShade="F2"/>
          </w:tcPr>
          <w:p w14:paraId="70898E74" w14:textId="77777777" w:rsidR="002E303D" w:rsidRPr="00AB39A0" w:rsidRDefault="005B6C28" w:rsidP="00AB39A0">
            <w:pPr>
              <w:pStyle w:val="CAR-TableText-Left"/>
              <w:rPr>
                <w:sz w:val="18"/>
                <w:szCs w:val="18"/>
              </w:rPr>
            </w:pPr>
            <w:r w:rsidRPr="00AB39A0">
              <w:rPr>
                <w:sz w:val="18"/>
                <w:szCs w:val="18"/>
              </w:rPr>
              <w:t>paragraph 1292(3)(d)</w:t>
            </w:r>
          </w:p>
        </w:tc>
        <w:tc>
          <w:tcPr>
            <w:tcW w:w="3883" w:type="pct"/>
            <w:shd w:val="clear" w:color="auto" w:fill="F2F2F2" w:themeFill="background1" w:themeFillShade="F2"/>
          </w:tcPr>
          <w:p w14:paraId="682ADABE" w14:textId="1BEEADC9" w:rsidR="002E303D" w:rsidRPr="00AB39A0" w:rsidRDefault="005B6C28" w:rsidP="00AB39A0">
            <w:pPr>
              <w:pStyle w:val="CAR-TableText-Left"/>
              <w:rPr>
                <w:sz w:val="18"/>
                <w:szCs w:val="18"/>
              </w:rPr>
            </w:pPr>
            <w:r w:rsidRPr="00AB39A0">
              <w:rPr>
                <w:sz w:val="18"/>
                <w:szCs w:val="18"/>
              </w:rPr>
              <w:t>failing to carry out the duties of a liquidator of a body corporate or otherwise not being a fit and proper person to remain registered as a liquidator of that corporation (liquidator of a specified body corporate)</w:t>
            </w:r>
            <w:r w:rsidR="00F56B2D">
              <w:rPr>
                <w:sz w:val="18"/>
                <w:szCs w:val="18"/>
              </w:rPr>
              <w:t xml:space="preserve"> </w:t>
            </w:r>
            <w:r w:rsidR="00F56B2D" w:rsidRPr="00F56B2D">
              <w:rPr>
                <w:i/>
                <w:sz w:val="18"/>
                <w:szCs w:val="18"/>
              </w:rPr>
              <w:t>(until 1 March 2017)</w:t>
            </w:r>
          </w:p>
        </w:tc>
      </w:tr>
    </w:tbl>
    <w:p w14:paraId="6B55B293" w14:textId="77777777" w:rsidR="00760048" w:rsidRDefault="00760048" w:rsidP="00760048">
      <w:pPr>
        <w:pStyle w:val="CAR-BodyText-Left"/>
        <w:spacing w:after="180"/>
        <w:jc w:val="both"/>
      </w:pPr>
    </w:p>
    <w:p w14:paraId="02755BF7" w14:textId="0B38E7C3" w:rsidR="00760048" w:rsidRPr="00AB39A0" w:rsidRDefault="00760048" w:rsidP="00760048">
      <w:pPr>
        <w:pStyle w:val="CAR-BodyText-Left"/>
        <w:spacing w:after="180"/>
        <w:jc w:val="both"/>
      </w:pPr>
      <w:r>
        <w:t>CADB</w:t>
      </w:r>
      <w:r w:rsidR="000B24C5">
        <w:t xml:space="preserve">'s detailed procedures are publically </w:t>
      </w:r>
      <w:r w:rsidRPr="00AB39A0">
        <w:t xml:space="preserve">available on </w:t>
      </w:r>
      <w:r>
        <w:t>CADB</w:t>
      </w:r>
      <w:r w:rsidRPr="00AB39A0">
        <w:t xml:space="preserve">’s website, </w:t>
      </w:r>
      <w:hyperlink r:id="rId37" w:history="1">
        <w:r w:rsidRPr="00AB39A0">
          <w:rPr>
            <w:rStyle w:val="Hyperlink"/>
            <w:rFonts w:cs="Arial"/>
          </w:rPr>
          <w:t>www.</w:t>
        </w:r>
        <w:r>
          <w:rPr>
            <w:rStyle w:val="Hyperlink"/>
            <w:rFonts w:cs="Arial"/>
          </w:rPr>
          <w:t>CADB</w:t>
        </w:r>
        <w:r w:rsidRPr="00AB39A0">
          <w:rPr>
            <w:rStyle w:val="Hyperlink"/>
            <w:rFonts w:cs="Arial"/>
          </w:rPr>
          <w:t>.gov.au</w:t>
        </w:r>
      </w:hyperlink>
      <w:r w:rsidR="006473DE">
        <w:t>,</w:t>
      </w:r>
      <w:r w:rsidRPr="00AB39A0">
        <w:t xml:space="preserve"> </w:t>
      </w:r>
      <w:r w:rsidR="006473DE">
        <w:t>including</w:t>
      </w:r>
      <w:r w:rsidRPr="00AB39A0">
        <w:t xml:space="preserve"> manual</w:t>
      </w:r>
      <w:r w:rsidR="006473DE">
        <w:t>s</w:t>
      </w:r>
      <w:r w:rsidRPr="00AB39A0">
        <w:t xml:space="preserve"> for ‘conduct’ matters and ‘administrative’ matters. The manuals set out procedures to be followed in relation to the filing and exchange of documents and other material prior to a hearing and the procedures for pre</w:t>
      </w:r>
      <w:r w:rsidRPr="00AB39A0">
        <w:noBreakHyphen/>
        <w:t xml:space="preserve">hearing conferences and for hearings. </w:t>
      </w:r>
      <w:r w:rsidR="000B24C5">
        <w:t xml:space="preserve">Parties involved in proceedings before CADB are referred to the procedure manuals. </w:t>
      </w:r>
      <w:r w:rsidRPr="00AB39A0">
        <w:t>The</w:t>
      </w:r>
      <w:r w:rsidR="006473DE">
        <w:t xml:space="preserve"> </w:t>
      </w:r>
      <w:r>
        <w:t>manual</w:t>
      </w:r>
      <w:r w:rsidRPr="00AB39A0">
        <w:t xml:space="preserve">s are reviewed and updated </w:t>
      </w:r>
      <w:r>
        <w:t>regularly</w:t>
      </w:r>
      <w:r w:rsidRPr="00AB39A0">
        <w:t>.</w:t>
      </w:r>
    </w:p>
    <w:p w14:paraId="2AD1153A" w14:textId="22EDF987" w:rsidR="002E303D" w:rsidRPr="00AB39A0" w:rsidRDefault="005B6C28" w:rsidP="000B24C5">
      <w:pPr>
        <w:pStyle w:val="CAR-BodyText-Left"/>
        <w:spacing w:before="240"/>
        <w:jc w:val="both"/>
      </w:pPr>
      <w:r w:rsidRPr="00AB39A0">
        <w:t xml:space="preserve">In general </w:t>
      </w:r>
      <w:r w:rsidR="00E573D3">
        <w:t>CADB</w:t>
      </w:r>
      <w:r w:rsidRPr="00AB39A0">
        <w:t xml:space="preserve"> </w:t>
      </w:r>
      <w:r w:rsidR="000B24C5">
        <w:t>may</w:t>
      </w:r>
      <w:r w:rsidRPr="00AB39A0">
        <w:t xml:space="preserve"> cancel or suspend the registration of a registered auditor, if </w:t>
      </w:r>
      <w:r w:rsidR="004E4C81">
        <w:t>relevant</w:t>
      </w:r>
      <w:r w:rsidRPr="00AB39A0">
        <w:t xml:space="preserve"> grounds </w:t>
      </w:r>
      <w:r w:rsidR="000B24C5">
        <w:t>under Section 1292 of the Corporations Act are</w:t>
      </w:r>
      <w:r w:rsidRPr="00AB39A0">
        <w:t xml:space="preserve"> es</w:t>
      </w:r>
      <w:r w:rsidR="000B24C5">
        <w:t xml:space="preserve">tablished to its satisfaction. </w:t>
      </w:r>
      <w:r w:rsidR="006473DE">
        <w:t>However, i</w:t>
      </w:r>
      <w:r w:rsidRPr="00AB39A0">
        <w:t>f ground</w:t>
      </w:r>
      <w:r w:rsidR="000B24C5">
        <w:t>s</w:t>
      </w:r>
      <w:r w:rsidRPr="00AB39A0">
        <w:t xml:space="preserve"> </w:t>
      </w:r>
      <w:r w:rsidR="000B24C5">
        <w:t>are</w:t>
      </w:r>
      <w:r w:rsidRPr="00AB39A0">
        <w:t xml:space="preserve"> established under </w:t>
      </w:r>
      <w:r w:rsidR="000B24C5">
        <w:t xml:space="preserve">either Sub-Sections </w:t>
      </w:r>
      <w:r w:rsidRPr="00AB39A0">
        <w:t xml:space="preserve">1292(7)(a) or (b) </w:t>
      </w:r>
      <w:r w:rsidR="006473DE">
        <w:t>of the Corporations Act</w:t>
      </w:r>
      <w:r w:rsidR="000B24C5">
        <w:t>,</w:t>
      </w:r>
      <w:r w:rsidR="006473DE">
        <w:t xml:space="preserve"> </w:t>
      </w:r>
      <w:r w:rsidR="00E573D3">
        <w:t>CADB</w:t>
      </w:r>
      <w:r w:rsidRPr="00AB39A0">
        <w:t xml:space="preserve"> </w:t>
      </w:r>
      <w:r w:rsidR="006473DE">
        <w:t>must</w:t>
      </w:r>
      <w:r w:rsidRPr="00AB39A0">
        <w:t xml:space="preserve"> cancel the registration of the </w:t>
      </w:r>
      <w:r w:rsidR="004D67F9">
        <w:t>auditor</w:t>
      </w:r>
      <w:r w:rsidRPr="00AB39A0">
        <w:t xml:space="preserve"> concerned.</w:t>
      </w:r>
    </w:p>
    <w:p w14:paraId="322827CA" w14:textId="29BF9BA7" w:rsidR="005B6C28" w:rsidRPr="00AB39A0" w:rsidRDefault="00E573D3" w:rsidP="0000696C">
      <w:pPr>
        <w:pStyle w:val="CAR-BodyText-Left"/>
        <w:jc w:val="both"/>
      </w:pPr>
      <w:r>
        <w:lastRenderedPageBreak/>
        <w:t>CADB</w:t>
      </w:r>
      <w:r w:rsidR="005B6C28" w:rsidRPr="00AB39A0">
        <w:t xml:space="preserve"> ha</w:t>
      </w:r>
      <w:r w:rsidR="00496B99">
        <w:t>s</w:t>
      </w:r>
      <w:r w:rsidR="005B6C28" w:rsidRPr="00AB39A0">
        <w:t xml:space="preserve"> additional powers under </w:t>
      </w:r>
      <w:r w:rsidR="0067103D">
        <w:t>Sub-Section</w:t>
      </w:r>
      <w:r w:rsidR="005B6C28" w:rsidRPr="00AB39A0">
        <w:t xml:space="preserve"> 1292(9) to admonish, reprimand or require undertakings</w:t>
      </w:r>
      <w:r w:rsidR="00496B99">
        <w:t xml:space="preserve"> from auditors </w:t>
      </w:r>
      <w:r w:rsidR="00E52C18">
        <w:t>in</w:t>
      </w:r>
      <w:r w:rsidR="00496B99">
        <w:t xml:space="preserve"> conduct matters pursuant to Sub-Sections 1292(1)(d), 1292(2)(d)</w:t>
      </w:r>
      <w:r w:rsidR="004D67F9">
        <w:t xml:space="preserve"> </w:t>
      </w:r>
      <w:r w:rsidR="00496B99">
        <w:t>or 1292(3)(d) of the Corporations Act</w:t>
      </w:r>
      <w:r w:rsidR="005B6C28" w:rsidRPr="00AB39A0">
        <w:t>. These powers may be exercised in addition to, or instead of, the powers to cancel or suspend registration.</w:t>
      </w:r>
    </w:p>
    <w:p w14:paraId="498B426E" w14:textId="5A964F06" w:rsidR="005B6C28" w:rsidRPr="00AB39A0" w:rsidRDefault="005B6C28" w:rsidP="0000696C">
      <w:pPr>
        <w:pStyle w:val="CAR-BodyText-Left"/>
        <w:jc w:val="both"/>
      </w:pPr>
      <w:r w:rsidRPr="00AB39A0">
        <w:t xml:space="preserve">Where the registration of a person has been suspended, </w:t>
      </w:r>
      <w:r w:rsidR="00E573D3">
        <w:t>CADB</w:t>
      </w:r>
      <w:r w:rsidRPr="00AB39A0">
        <w:t xml:space="preserve"> may, on an application by the person or of its own motion, by order under </w:t>
      </w:r>
      <w:r w:rsidR="0067103D">
        <w:t>Section</w:t>
      </w:r>
      <w:r w:rsidRPr="00AB39A0">
        <w:t xml:space="preserve"> 1295, terminate the suspension.</w:t>
      </w:r>
    </w:p>
    <w:p w14:paraId="7E804BD3" w14:textId="05D4769C" w:rsidR="005B6C28" w:rsidRPr="00AB39A0" w:rsidRDefault="0067103D" w:rsidP="0000696C">
      <w:pPr>
        <w:pStyle w:val="CAR-BodyText-Left"/>
        <w:spacing w:after="120"/>
        <w:jc w:val="both"/>
      </w:pPr>
      <w:r>
        <w:t>Section</w:t>
      </w:r>
      <w:r w:rsidR="005B6C28" w:rsidRPr="00AB39A0">
        <w:t xml:space="preserve"> 1294A of the </w:t>
      </w:r>
      <w:r w:rsidR="009D7BF7" w:rsidRPr="00AB39A0">
        <w:t>Corporations Act</w:t>
      </w:r>
      <w:r w:rsidR="005B6C28" w:rsidRPr="00AB39A0">
        <w:t xml:space="preserve"> provides that the Chairperson may</w:t>
      </w:r>
      <w:r w:rsidR="005C1C87" w:rsidRPr="00AB39A0">
        <w:t>,</w:t>
      </w:r>
      <w:r w:rsidR="005B6C28" w:rsidRPr="00AB39A0">
        <w:t xml:space="preserve"> if he </w:t>
      </w:r>
      <w:r w:rsidR="00306620">
        <w:t xml:space="preserve">or she </w:t>
      </w:r>
      <w:r w:rsidR="005B6C28" w:rsidRPr="00AB39A0">
        <w:t>considers that it would assist the conduct of the hearing, convene one or more pre</w:t>
      </w:r>
      <w:r w:rsidR="00C44375" w:rsidRPr="00AB39A0">
        <w:noBreakHyphen/>
      </w:r>
      <w:r w:rsidR="005B6C28" w:rsidRPr="00AB39A0">
        <w:t>hearing conferences with the parties. The Chair</w:t>
      </w:r>
      <w:r w:rsidR="00C7672F" w:rsidRPr="00AB39A0">
        <w:t>person</w:t>
      </w:r>
      <w:r w:rsidR="005B6C28" w:rsidRPr="00AB39A0">
        <w:t xml:space="preserve"> uses the pre</w:t>
      </w:r>
      <w:r w:rsidR="00C44375" w:rsidRPr="00AB39A0">
        <w:noBreakHyphen/>
      </w:r>
      <w:r w:rsidR="005B6C28" w:rsidRPr="00AB39A0">
        <w:t>hearing conferences to:</w:t>
      </w:r>
    </w:p>
    <w:p w14:paraId="1AE9E400" w14:textId="6D03E82D" w:rsidR="002E303D" w:rsidRPr="00AB39A0" w:rsidRDefault="0058686E" w:rsidP="0000696C">
      <w:pPr>
        <w:pStyle w:val="CAR-Bullet-1"/>
        <w:spacing w:after="120"/>
        <w:jc w:val="both"/>
      </w:pPr>
      <w:r>
        <w:t>fix a hearing date;</w:t>
      </w:r>
    </w:p>
    <w:p w14:paraId="19DCA1B4" w14:textId="77777777" w:rsidR="002E303D" w:rsidRPr="00AB39A0" w:rsidRDefault="005B6C28" w:rsidP="0000696C">
      <w:pPr>
        <w:pStyle w:val="CAR-Bullet-1"/>
        <w:spacing w:after="120"/>
        <w:jc w:val="both"/>
      </w:pPr>
      <w:r w:rsidRPr="00AB39A0">
        <w:t xml:space="preserve">give directions about the timing of the filing of evidence and submissions; and </w:t>
      </w:r>
    </w:p>
    <w:p w14:paraId="403437BA" w14:textId="77777777" w:rsidR="002E303D" w:rsidRPr="00AB39A0" w:rsidRDefault="005B6C28" w:rsidP="0000696C">
      <w:pPr>
        <w:pStyle w:val="CAR-Bullet-1"/>
        <w:jc w:val="both"/>
      </w:pPr>
      <w:r w:rsidRPr="00AB39A0">
        <w:t>give directions about the procedure to be followed generally at</w:t>
      </w:r>
      <w:r w:rsidR="005C1C87" w:rsidRPr="00AB39A0">
        <w:t>,</w:t>
      </w:r>
      <w:r w:rsidRPr="00AB39A0">
        <w:t xml:space="preserve"> or in connection with</w:t>
      </w:r>
      <w:r w:rsidR="005C1C87" w:rsidRPr="00AB39A0">
        <w:t>,</w:t>
      </w:r>
      <w:r w:rsidRPr="00AB39A0">
        <w:t xml:space="preserve"> the hearing.</w:t>
      </w:r>
    </w:p>
    <w:p w14:paraId="2E4AC365" w14:textId="1AD14199" w:rsidR="005B6C28" w:rsidRPr="00AB39A0" w:rsidRDefault="005B6C28" w:rsidP="0000696C">
      <w:pPr>
        <w:pStyle w:val="CAR-BodyText-Left"/>
        <w:spacing w:after="120"/>
        <w:jc w:val="both"/>
      </w:pPr>
      <w:r w:rsidRPr="00AB39A0">
        <w:t>The Chair</w:t>
      </w:r>
      <w:r w:rsidR="00C7672F" w:rsidRPr="00AB39A0">
        <w:t>person</w:t>
      </w:r>
      <w:r w:rsidRPr="00AB39A0">
        <w:t xml:space="preserve"> also uses the pre</w:t>
      </w:r>
      <w:r w:rsidR="0033461D">
        <w:t>-</w:t>
      </w:r>
      <w:r w:rsidRPr="00AB39A0">
        <w:t>hearing conferences to:</w:t>
      </w:r>
    </w:p>
    <w:p w14:paraId="0536D7F5" w14:textId="77777777" w:rsidR="002E303D" w:rsidRPr="00AB39A0" w:rsidRDefault="005B6C28" w:rsidP="0000696C">
      <w:pPr>
        <w:pStyle w:val="CAR-Bullet-1"/>
        <w:spacing w:after="120"/>
        <w:jc w:val="both"/>
      </w:pPr>
      <w:r w:rsidRPr="00AB39A0">
        <w:t>refine and reduce the matters in dispute to reduce the length of the hearing and overall costs of the proceedings; and</w:t>
      </w:r>
    </w:p>
    <w:p w14:paraId="24077273" w14:textId="77777777" w:rsidR="002E303D" w:rsidRPr="00AB39A0" w:rsidRDefault="005B6C28" w:rsidP="0000696C">
      <w:pPr>
        <w:pStyle w:val="CAR-Bullet-1"/>
        <w:jc w:val="both"/>
      </w:pPr>
      <w:r w:rsidRPr="00AB39A0">
        <w:t>resolve any preliminary matters.</w:t>
      </w:r>
    </w:p>
    <w:p w14:paraId="4CBE7234" w14:textId="467A6D5C" w:rsidR="005B6C28" w:rsidRPr="00AB39A0" w:rsidRDefault="00E573D3" w:rsidP="0000696C">
      <w:pPr>
        <w:pStyle w:val="CAR-BodyText-Left"/>
        <w:jc w:val="both"/>
      </w:pPr>
      <w:r>
        <w:t>CADB</w:t>
      </w:r>
      <w:r w:rsidR="00C44375" w:rsidRPr="00AB39A0">
        <w:t>’</w:t>
      </w:r>
      <w:r w:rsidR="005B6C28" w:rsidRPr="00AB39A0">
        <w:t>s pre</w:t>
      </w:r>
      <w:r w:rsidR="00C44375" w:rsidRPr="00AB39A0">
        <w:noBreakHyphen/>
      </w:r>
      <w:r w:rsidR="005B6C28" w:rsidRPr="00AB39A0">
        <w:t xml:space="preserve">hearing procedures are </w:t>
      </w:r>
      <w:r w:rsidR="009E39AA" w:rsidRPr="00AB39A0">
        <w:t xml:space="preserve">regularly </w:t>
      </w:r>
      <w:r w:rsidR="005B6C28" w:rsidRPr="00AB39A0">
        <w:t>reviewed to ensure that they remain effective and efficient so as to minimise costs and time for all parties.</w:t>
      </w:r>
    </w:p>
    <w:p w14:paraId="41301938" w14:textId="572AB184" w:rsidR="005B6C28" w:rsidRPr="00AB39A0" w:rsidRDefault="005B6C28" w:rsidP="0000696C">
      <w:pPr>
        <w:pStyle w:val="CAR-BodyText-Left"/>
        <w:jc w:val="both"/>
      </w:pPr>
      <w:r w:rsidRPr="00AB39A0">
        <w:t xml:space="preserve">Should the parties reach consensus regarding an acceptable outcome they can refer draft agreed terms of order to the </w:t>
      </w:r>
      <w:r w:rsidR="00E573D3">
        <w:t>CADB</w:t>
      </w:r>
      <w:r w:rsidRPr="00AB39A0">
        <w:t xml:space="preserve"> panel. </w:t>
      </w:r>
      <w:r w:rsidR="00E573D3">
        <w:t>CADB</w:t>
      </w:r>
      <w:r w:rsidRPr="00AB39A0">
        <w:t xml:space="preserve"> does not participate in any settlement discussions or negotiations between the parties and retains the right to determine the appropriate orders.</w:t>
      </w:r>
    </w:p>
    <w:p w14:paraId="6D445B7F" w14:textId="542BBBC0" w:rsidR="002E303D" w:rsidRPr="00AB39A0" w:rsidRDefault="005B6C28" w:rsidP="0000696C">
      <w:pPr>
        <w:pStyle w:val="Heading2"/>
        <w:jc w:val="both"/>
      </w:pPr>
      <w:bookmarkStart w:id="31" w:name="_Toc460850470"/>
      <w:r w:rsidRPr="00AB39A0">
        <w:t xml:space="preserve">Panel of </w:t>
      </w:r>
      <w:r w:rsidR="00E573D3">
        <w:t>CADB</w:t>
      </w:r>
      <w:r w:rsidRPr="00AB39A0">
        <w:t xml:space="preserve"> members to hear and determine</w:t>
      </w:r>
      <w:r w:rsidR="00487C7E" w:rsidRPr="00AB39A0">
        <w:t xml:space="preserve"> matters</w:t>
      </w:r>
      <w:bookmarkEnd w:id="31"/>
    </w:p>
    <w:p w14:paraId="72771563" w14:textId="6EBDC5AD" w:rsidR="005B6C28" w:rsidRPr="00AB39A0" w:rsidRDefault="00BF7B63" w:rsidP="0000696C">
      <w:pPr>
        <w:pStyle w:val="CAR-BodyText-Left"/>
        <w:jc w:val="both"/>
      </w:pPr>
      <w:r w:rsidRPr="00AB39A0">
        <w:t>As noted, h</w:t>
      </w:r>
      <w:r w:rsidR="005B6C28" w:rsidRPr="00AB39A0">
        <w:t xml:space="preserve">earings are conducted and decisions are made by a panel of members of </w:t>
      </w:r>
      <w:r w:rsidR="00E573D3">
        <w:t>CADB</w:t>
      </w:r>
      <w:r w:rsidR="004E088C" w:rsidRPr="00AB39A0">
        <w:t xml:space="preserve"> </w:t>
      </w:r>
      <w:r w:rsidR="00760048">
        <w:t>conve</w:t>
      </w:r>
      <w:r w:rsidR="004E088C" w:rsidRPr="00AB39A0">
        <w:t>ned by the Chairperson</w:t>
      </w:r>
      <w:r w:rsidR="005B6C28" w:rsidRPr="00AB39A0">
        <w:t xml:space="preserve"> (Panel)</w:t>
      </w:r>
      <w:r w:rsidR="00760048">
        <w:t xml:space="preserve"> in accordance with the Corporations Act</w:t>
      </w:r>
      <w:r w:rsidR="005B6C28" w:rsidRPr="00AB39A0">
        <w:t xml:space="preserve">. </w:t>
      </w:r>
    </w:p>
    <w:p w14:paraId="5D7C79B7" w14:textId="7D5722E0" w:rsidR="005B6C28" w:rsidRPr="00AB39A0" w:rsidRDefault="005B6C28" w:rsidP="0000696C">
      <w:pPr>
        <w:pStyle w:val="CAR-BodyText-Left"/>
        <w:jc w:val="both"/>
      </w:pPr>
      <w:r w:rsidRPr="00AB39A0">
        <w:t xml:space="preserve">A Panel must include the Chairperson or Deputy Chairperson as Chairperson of the Panel. </w:t>
      </w:r>
      <w:r w:rsidR="004E4C81">
        <w:t>A</w:t>
      </w:r>
      <w:r w:rsidRPr="00AB39A0">
        <w:t xml:space="preserve"> Panel </w:t>
      </w:r>
      <w:r w:rsidR="004E4C81">
        <w:t>may be</w:t>
      </w:r>
      <w:r w:rsidRPr="00AB39A0">
        <w:t xml:space="preserve"> constituted by five members</w:t>
      </w:r>
      <w:r w:rsidR="00494F86" w:rsidRPr="00AB39A0">
        <w:t xml:space="preserve"> — </w:t>
      </w:r>
      <w:r w:rsidR="009E39AA" w:rsidRPr="00AB39A0">
        <w:t xml:space="preserve">including </w:t>
      </w:r>
      <w:r w:rsidRPr="00AB39A0">
        <w:t xml:space="preserve">two accounting members and two business members. The Chairperson may consider it appropriate to convene a Panel with three members, in which case one accounting and one business member would be selected. </w:t>
      </w:r>
    </w:p>
    <w:p w14:paraId="0B5639F9" w14:textId="01556EC5" w:rsidR="005B6C28" w:rsidRPr="00AB39A0" w:rsidRDefault="005B6C28" w:rsidP="0000696C">
      <w:pPr>
        <w:pStyle w:val="CAR-BodyText-Left"/>
        <w:jc w:val="both"/>
      </w:pPr>
      <w:r w:rsidRPr="00AB39A0">
        <w:t xml:space="preserve">Matters are heard by </w:t>
      </w:r>
      <w:r w:rsidR="004E4C81">
        <w:t>the</w:t>
      </w:r>
      <w:r w:rsidRPr="00AB39A0">
        <w:t xml:space="preserve"> duly constituted Panel </w:t>
      </w:r>
      <w:r w:rsidR="004E4C81">
        <w:t>which</w:t>
      </w:r>
      <w:r w:rsidRPr="00AB39A0">
        <w:t xml:space="preserve"> will make a determination and decision as necessary in relation to a particular application.</w:t>
      </w:r>
    </w:p>
    <w:p w14:paraId="05FACCCB" w14:textId="3399FD70" w:rsidR="005B6C28" w:rsidRDefault="005B6C28" w:rsidP="0000696C">
      <w:pPr>
        <w:pStyle w:val="CAR-BodyText-Left"/>
        <w:jc w:val="both"/>
      </w:pPr>
      <w:r w:rsidRPr="00AB39A0">
        <w:lastRenderedPageBreak/>
        <w:t xml:space="preserve">All matters referred to </w:t>
      </w:r>
      <w:r w:rsidR="00E573D3">
        <w:t>CADB</w:t>
      </w:r>
      <w:r w:rsidRPr="00AB39A0">
        <w:t xml:space="preserve"> (unless subsequently withdrawn by ASIC) must proceed to a hearing following which the Panel will </w:t>
      </w:r>
      <w:r w:rsidR="004E4C81">
        <w:t>issue a written</w:t>
      </w:r>
      <w:r w:rsidRPr="00AB39A0">
        <w:t xml:space="preserve"> determination and orders. Hearings are required to be held in private unless a public hearing is requested by </w:t>
      </w:r>
      <w:r w:rsidR="009E39AA" w:rsidRPr="00AB39A0">
        <w:t>the respondent</w:t>
      </w:r>
      <w:r w:rsidRPr="00AB39A0">
        <w:t>.</w:t>
      </w:r>
    </w:p>
    <w:p w14:paraId="359C7084" w14:textId="42DABEF4" w:rsidR="004E4C81" w:rsidRPr="00AB39A0" w:rsidRDefault="004E4C81" w:rsidP="0000696C">
      <w:pPr>
        <w:pStyle w:val="CAR-BodyText-Left"/>
        <w:jc w:val="both"/>
      </w:pPr>
      <w:r>
        <w:t xml:space="preserve">For </w:t>
      </w:r>
      <w:r w:rsidRPr="00AB39A0">
        <w:t>contested conduct matters, a Panel will usually hold a hearing with all members and parties physically present. In other matters, the Panel may arrange hearings by video link or telephone link with one or more members or parties in different locations. The ASIC Act permits legal representation at all hearings, for all parties. Parties may also represent themselves</w:t>
      </w:r>
      <w:r>
        <w:t xml:space="preserve">. </w:t>
      </w:r>
    </w:p>
    <w:p w14:paraId="6E6CD08D" w14:textId="7190DA01" w:rsidR="005B6C28" w:rsidRPr="00AB39A0" w:rsidRDefault="005B6C28" w:rsidP="0000696C">
      <w:pPr>
        <w:pStyle w:val="CAR-BodyText-Left"/>
        <w:jc w:val="both"/>
      </w:pPr>
      <w:r w:rsidRPr="00AB39A0">
        <w:t xml:space="preserve">The Panel must determine whether or not it is satisfied that the contentions raised in the application have been established. The Panel provides the parties with a written determination </w:t>
      </w:r>
      <w:r w:rsidR="004E088C" w:rsidRPr="00AB39A0">
        <w:t>that</w:t>
      </w:r>
      <w:r w:rsidRPr="00AB39A0">
        <w:t xml:space="preserve"> sets out the Panel</w:t>
      </w:r>
      <w:r w:rsidR="00C44375" w:rsidRPr="00AB39A0">
        <w:t>’</w:t>
      </w:r>
      <w:r w:rsidRPr="00AB39A0">
        <w:t xml:space="preserve">s conclusions (with reasons) on each of the contentions. </w:t>
      </w:r>
    </w:p>
    <w:p w14:paraId="5F899600" w14:textId="54C70CB7" w:rsidR="005B6C28" w:rsidRPr="00AB39A0" w:rsidRDefault="004E088C" w:rsidP="0000696C">
      <w:pPr>
        <w:pStyle w:val="CAR-BodyText-Left"/>
        <w:jc w:val="both"/>
      </w:pPr>
      <w:r w:rsidRPr="00AB39A0">
        <w:t>If the Panel determines a contention is established it must</w:t>
      </w:r>
      <w:r w:rsidR="005B6C28" w:rsidRPr="00AB39A0">
        <w:t xml:space="preserve"> decide whether or not to exercise any of </w:t>
      </w:r>
      <w:r w:rsidR="00E573D3">
        <w:t>CADB</w:t>
      </w:r>
      <w:r w:rsidR="00C44375" w:rsidRPr="00AB39A0">
        <w:t>’</w:t>
      </w:r>
      <w:r w:rsidR="005B6C28" w:rsidRPr="00AB39A0">
        <w:t xml:space="preserve">s powers under </w:t>
      </w:r>
      <w:r w:rsidR="0067103D">
        <w:t>Section</w:t>
      </w:r>
      <w:r w:rsidR="005B6C28" w:rsidRPr="00AB39A0">
        <w:t xml:space="preserve"> 1292 of the </w:t>
      </w:r>
      <w:r w:rsidR="009D7BF7" w:rsidRPr="00AB39A0">
        <w:t>Corporations Act</w:t>
      </w:r>
      <w:r w:rsidR="005B6C28" w:rsidRPr="00AB39A0">
        <w:t xml:space="preserve"> and/or whether or not it is required to make an order under </w:t>
      </w:r>
      <w:r w:rsidR="0067103D">
        <w:t>Sub-Section</w:t>
      </w:r>
      <w:r w:rsidR="005B6C28" w:rsidRPr="00AB39A0">
        <w:t xml:space="preserve"> 1292(7). For that purpose, the Panel may hold a final hearing before delivering its decision. </w:t>
      </w:r>
    </w:p>
    <w:p w14:paraId="3C4C6F11" w14:textId="458724DA" w:rsidR="002E303D" w:rsidRPr="00AB39A0" w:rsidRDefault="005B6C28" w:rsidP="0000696C">
      <w:pPr>
        <w:pStyle w:val="CAR-BodyText-Left"/>
        <w:jc w:val="both"/>
      </w:pPr>
      <w:r w:rsidRPr="00AB39A0">
        <w:t>At any final hearing, the parties will have an opportunity to present relevant evidence and make submissions on the questions of sanction, publicity and costs.</w:t>
      </w:r>
    </w:p>
    <w:p w14:paraId="5B4DBCAF" w14:textId="77777777" w:rsidR="00480458" w:rsidRPr="00AB39A0" w:rsidRDefault="00480458" w:rsidP="00E621BC">
      <w:pPr>
        <w:pStyle w:val="CAR-BodyText-Left"/>
      </w:pPr>
    </w:p>
    <w:p w14:paraId="504C79CA" w14:textId="77777777" w:rsidR="00480458" w:rsidRPr="00AB39A0" w:rsidRDefault="00480458" w:rsidP="00E621BC">
      <w:pPr>
        <w:pStyle w:val="CAR-BodyText-Left"/>
        <w:sectPr w:rsidR="00480458" w:rsidRPr="00AB39A0" w:rsidSect="009256BD">
          <w:headerReference w:type="default" r:id="rId38"/>
          <w:type w:val="oddPage"/>
          <w:pgSz w:w="11907" w:h="16834" w:code="9"/>
          <w:pgMar w:top="2466" w:right="2098" w:bottom="2466" w:left="2098" w:header="1899" w:footer="1899" w:gutter="0"/>
          <w:cols w:space="720"/>
          <w:titlePg/>
          <w:docGrid w:linePitch="326"/>
        </w:sectPr>
      </w:pPr>
    </w:p>
    <w:p w14:paraId="20E909A9" w14:textId="77777777" w:rsidR="002E303D" w:rsidRPr="00AB39A0" w:rsidRDefault="005B6C28" w:rsidP="003E551F">
      <w:pPr>
        <w:pStyle w:val="AppendixHeading"/>
        <w:spacing w:before="360"/>
      </w:pPr>
      <w:bookmarkStart w:id="32" w:name="_Toc460850471"/>
      <w:r w:rsidRPr="00AB39A0">
        <w:lastRenderedPageBreak/>
        <w:t xml:space="preserve">Appendix </w:t>
      </w:r>
      <w:r w:rsidR="002E303D" w:rsidRPr="00AB39A0">
        <w:t>2</w:t>
      </w:r>
      <w:bookmarkEnd w:id="32"/>
    </w:p>
    <w:p w14:paraId="2724529E" w14:textId="77777777" w:rsidR="005B6C28" w:rsidRPr="00AB39A0" w:rsidRDefault="002E303D" w:rsidP="0000696C">
      <w:pPr>
        <w:pStyle w:val="Heading2"/>
        <w:jc w:val="both"/>
      </w:pPr>
      <w:bookmarkStart w:id="33" w:name="_Toc460850472"/>
      <w:r w:rsidRPr="00AB39A0">
        <w:t xml:space="preserve">Details of </w:t>
      </w:r>
      <w:r w:rsidR="00755D7D" w:rsidRPr="00AB39A0">
        <w:t xml:space="preserve">current members </w:t>
      </w:r>
      <w:r w:rsidR="005B6C28" w:rsidRPr="00AB39A0">
        <w:t>of the Board</w:t>
      </w:r>
      <w:bookmarkEnd w:id="33"/>
    </w:p>
    <w:p w14:paraId="1ACA2135" w14:textId="77777777" w:rsidR="002E303D" w:rsidRPr="00AB39A0" w:rsidRDefault="005B6C28" w:rsidP="0000696C">
      <w:pPr>
        <w:pStyle w:val="CAR-DecisionHead"/>
        <w:jc w:val="both"/>
      </w:pPr>
      <w:r w:rsidRPr="00AB39A0">
        <w:t>Maria McCrossin</w:t>
      </w:r>
    </w:p>
    <w:p w14:paraId="5768AFF7" w14:textId="1D0DC2A7" w:rsidR="005B6C28" w:rsidRPr="00AB39A0" w:rsidRDefault="002E303D" w:rsidP="0000696C">
      <w:pPr>
        <w:jc w:val="both"/>
      </w:pPr>
      <w:r w:rsidRPr="00AB39A0">
        <w:rPr>
          <w:sz w:val="20"/>
          <w:szCs w:val="20"/>
        </w:rPr>
        <w:t>Maria McCrossin is a lawyer with extensive financial services, capital markets</w:t>
      </w:r>
      <w:r w:rsidR="00760048">
        <w:rPr>
          <w:sz w:val="20"/>
          <w:szCs w:val="20"/>
        </w:rPr>
        <w:t>,</w:t>
      </w:r>
      <w:r w:rsidRPr="00AB39A0">
        <w:rPr>
          <w:sz w:val="20"/>
          <w:szCs w:val="20"/>
        </w:rPr>
        <w:t xml:space="preserve"> commercial litigation </w:t>
      </w:r>
      <w:r w:rsidR="00760048">
        <w:rPr>
          <w:sz w:val="20"/>
          <w:szCs w:val="20"/>
        </w:rPr>
        <w:t xml:space="preserve">and dispute resolution </w:t>
      </w:r>
      <w:r w:rsidRPr="00AB39A0">
        <w:rPr>
          <w:sz w:val="20"/>
          <w:szCs w:val="20"/>
        </w:rPr>
        <w:t>experience. She has held senior r</w:t>
      </w:r>
      <w:r w:rsidR="00760048">
        <w:rPr>
          <w:sz w:val="20"/>
          <w:szCs w:val="20"/>
        </w:rPr>
        <w:t xml:space="preserve">oles in private legal practice </w:t>
      </w:r>
      <w:r w:rsidRPr="00AB39A0">
        <w:rPr>
          <w:sz w:val="20"/>
          <w:szCs w:val="20"/>
        </w:rPr>
        <w:t>and within the commercial sector</w:t>
      </w:r>
      <w:r w:rsidR="00760048">
        <w:rPr>
          <w:sz w:val="20"/>
          <w:szCs w:val="20"/>
        </w:rPr>
        <w:t>.</w:t>
      </w:r>
      <w:r w:rsidRPr="00AB39A0">
        <w:rPr>
          <w:sz w:val="20"/>
          <w:szCs w:val="20"/>
        </w:rPr>
        <w:t xml:space="preserve"> Maria is a Fellow of the Australian Institute of Company Directors and a current member of the ChiX Australia Compliance Panel.</w:t>
      </w:r>
    </w:p>
    <w:p w14:paraId="125EE01C" w14:textId="76758C7B" w:rsidR="00C63DA2" w:rsidRPr="00AB39A0" w:rsidRDefault="00C63DA2" w:rsidP="0000696C">
      <w:pPr>
        <w:pStyle w:val="CAR-DecisionHead"/>
        <w:jc w:val="both"/>
      </w:pPr>
      <w:r>
        <w:t>Clare Lethlean</w:t>
      </w:r>
    </w:p>
    <w:p w14:paraId="3E0B77AE" w14:textId="4E81E590" w:rsidR="00AE2976" w:rsidRPr="00A249E3" w:rsidRDefault="00A249E3" w:rsidP="0000696C">
      <w:pPr>
        <w:spacing w:line="240" w:lineRule="auto"/>
        <w:jc w:val="both"/>
        <w:rPr>
          <w:color w:val="auto"/>
        </w:rPr>
      </w:pPr>
      <w:r>
        <w:rPr>
          <w:rFonts w:cs="Book Antiqua"/>
          <w:color w:val="000000"/>
          <w:sz w:val="20"/>
          <w:szCs w:val="20"/>
        </w:rPr>
        <w:t xml:space="preserve">Clare Lethlean is a lawyer with extensive dispute resolution and insolvency experience.  She has held senior roles in private legal practice, with the United Nations (Geneva), with statutory disciplinary and complaint bodies and is currently employed in a professional practice role at McGrathNicol.  Clare has held directorships in the education and disability </w:t>
      </w:r>
      <w:r w:rsidRPr="00A249E3">
        <w:rPr>
          <w:rFonts w:cs="Book Antiqua"/>
          <w:color w:val="auto"/>
          <w:sz w:val="20"/>
          <w:szCs w:val="20"/>
        </w:rPr>
        <w:t xml:space="preserve">sectors. She currently holds appointments in the education sector and for a disciplinary body in the health sector. Clare has recently been appointed to a Commonwealth Ministerial pool of persons to be selected to form an Insolvency Practitioner Disciplinary Committee under the </w:t>
      </w:r>
      <w:r w:rsidRPr="00A249E3">
        <w:rPr>
          <w:rFonts w:cs="Book Antiqua"/>
          <w:i/>
          <w:iCs/>
          <w:color w:val="auto"/>
          <w:sz w:val="20"/>
          <w:szCs w:val="20"/>
        </w:rPr>
        <w:t>Corporations Act 200</w:t>
      </w:r>
      <w:r>
        <w:rPr>
          <w:rFonts w:cs="Book Antiqua"/>
          <w:i/>
          <w:iCs/>
          <w:color w:val="auto"/>
          <w:sz w:val="20"/>
          <w:szCs w:val="20"/>
        </w:rPr>
        <w:t xml:space="preserve">1. </w:t>
      </w:r>
    </w:p>
    <w:p w14:paraId="4D5702C7" w14:textId="138F5F19" w:rsidR="002E303D" w:rsidRPr="00AB39A0" w:rsidRDefault="005B6C28" w:rsidP="0000696C">
      <w:pPr>
        <w:pStyle w:val="CAR-DecisionHead"/>
        <w:jc w:val="both"/>
      </w:pPr>
      <w:r w:rsidRPr="00AB39A0">
        <w:t>Robert Ferguson</w:t>
      </w:r>
    </w:p>
    <w:p w14:paraId="1E126D7A" w14:textId="4DE6FDFE" w:rsidR="005B6C28" w:rsidRPr="00AB39A0" w:rsidRDefault="002E303D" w:rsidP="0000696C">
      <w:pPr>
        <w:jc w:val="both"/>
      </w:pPr>
      <w:r w:rsidRPr="00AB39A0">
        <w:rPr>
          <w:sz w:val="20"/>
          <w:szCs w:val="20"/>
        </w:rPr>
        <w:t>Robert is a Chartered Accountant, Official Liquidator and Registered Trustee in Bankruptcy, specialising in insolvency practice</w:t>
      </w:r>
      <w:r w:rsidR="00494F86" w:rsidRPr="00AB39A0">
        <w:rPr>
          <w:sz w:val="20"/>
          <w:szCs w:val="20"/>
        </w:rPr>
        <w:t xml:space="preserve">. </w:t>
      </w:r>
      <w:r w:rsidRPr="00AB39A0">
        <w:rPr>
          <w:sz w:val="20"/>
          <w:szCs w:val="20"/>
        </w:rPr>
        <w:t>Robert</w:t>
      </w:r>
      <w:r w:rsidR="00C44375" w:rsidRPr="00AB39A0">
        <w:rPr>
          <w:sz w:val="20"/>
          <w:szCs w:val="20"/>
        </w:rPr>
        <w:t>’</w:t>
      </w:r>
      <w:r w:rsidRPr="00AB39A0">
        <w:rPr>
          <w:sz w:val="20"/>
          <w:szCs w:val="20"/>
        </w:rPr>
        <w:t>s experience includes being an insolvency partner with both PricewaterhouseCoopers and Deloitte for 18 years after which he established his own specialist firm</w:t>
      </w:r>
      <w:r w:rsidR="00494F86" w:rsidRPr="00AB39A0">
        <w:rPr>
          <w:sz w:val="20"/>
          <w:szCs w:val="20"/>
        </w:rPr>
        <w:t xml:space="preserve">. </w:t>
      </w:r>
      <w:r w:rsidRPr="00AB39A0">
        <w:rPr>
          <w:sz w:val="20"/>
          <w:szCs w:val="20"/>
        </w:rPr>
        <w:t>Robert has more than 30 years</w:t>
      </w:r>
      <w:r w:rsidR="00C44375" w:rsidRPr="00AB39A0">
        <w:rPr>
          <w:sz w:val="20"/>
          <w:szCs w:val="20"/>
        </w:rPr>
        <w:t>’</w:t>
      </w:r>
      <w:r w:rsidRPr="00AB39A0">
        <w:rPr>
          <w:sz w:val="20"/>
          <w:szCs w:val="20"/>
        </w:rPr>
        <w:t xml:space="preserve"> experience in insolvency practice, is a member of the Australian Restructuring Insolvency &amp;</w:t>
      </w:r>
      <w:r w:rsidR="00021666" w:rsidRPr="00AB39A0">
        <w:rPr>
          <w:sz w:val="20"/>
          <w:szCs w:val="20"/>
        </w:rPr>
        <w:t xml:space="preserve"> </w:t>
      </w:r>
      <w:r w:rsidRPr="00AB39A0">
        <w:rPr>
          <w:sz w:val="20"/>
          <w:szCs w:val="20"/>
        </w:rPr>
        <w:t>Turnaround Association (ARITA) and former State Chair and National Board member of that organisation.</w:t>
      </w:r>
    </w:p>
    <w:p w14:paraId="55907E22" w14:textId="77777777" w:rsidR="002E303D" w:rsidRPr="00AB39A0" w:rsidRDefault="005B6C28" w:rsidP="0000696C">
      <w:pPr>
        <w:pStyle w:val="CAR-DecisionHead"/>
        <w:jc w:val="both"/>
      </w:pPr>
      <w:r w:rsidRPr="00AB39A0">
        <w:t>Bruce Gleeson</w:t>
      </w:r>
    </w:p>
    <w:p w14:paraId="32F4EE9B" w14:textId="632BF73E" w:rsidR="008E3E8F" w:rsidRPr="00AB39A0" w:rsidRDefault="00035964" w:rsidP="0000696C">
      <w:pPr>
        <w:jc w:val="both"/>
        <w:rPr>
          <w:sz w:val="20"/>
          <w:szCs w:val="20"/>
        </w:rPr>
      </w:pPr>
      <w:r w:rsidRPr="00E74B4B">
        <w:rPr>
          <w:color w:val="auto"/>
          <w:sz w:val="20"/>
          <w:szCs w:val="20"/>
        </w:rPr>
        <w:t>Bruce is a Principal at Jones Partners Insolvency &amp; Business Recovery</w:t>
      </w:r>
      <w:r w:rsidR="00C44375" w:rsidRPr="00E74B4B">
        <w:rPr>
          <w:color w:val="auto"/>
          <w:sz w:val="20"/>
          <w:szCs w:val="20"/>
        </w:rPr>
        <w:t xml:space="preserve"> — </w:t>
      </w:r>
      <w:r w:rsidRPr="00E74B4B">
        <w:rPr>
          <w:color w:val="auto"/>
          <w:sz w:val="20"/>
          <w:szCs w:val="20"/>
        </w:rPr>
        <w:t>a specialist insolvency firm based in NSW. He holds a Bachelor of Commence Degree from the University of Western Sydney, NSW and has also completed a Diploma of Financial Planning with the Financial Planning Association of Australia (FPA). Bruce is both a Fellow of the Chartered Accountants Australia &amp; New Zealand (CAANZ) and CPA Australia, as well as being a member of the Australian Restructuring Insolvency &amp; Turnaround Association (ARITA).</w:t>
      </w:r>
      <w:r w:rsidR="008E3E8F" w:rsidRPr="00E74B4B">
        <w:rPr>
          <w:color w:val="auto"/>
          <w:sz w:val="20"/>
          <w:szCs w:val="20"/>
        </w:rPr>
        <w:t xml:space="preserve"> He is a Registered Liquidator, Official Liquidator, Registered Trustee in Bankruptcy and a Justice of the Peace (NSW)</w:t>
      </w:r>
      <w:r w:rsidR="00C44375" w:rsidRPr="00E74B4B">
        <w:rPr>
          <w:color w:val="auto"/>
          <w:sz w:val="20"/>
          <w:szCs w:val="20"/>
        </w:rPr>
        <w:t xml:space="preserve">. </w:t>
      </w:r>
      <w:r w:rsidR="008E3E8F" w:rsidRPr="00E74B4B">
        <w:rPr>
          <w:color w:val="auto"/>
          <w:sz w:val="20"/>
          <w:szCs w:val="20"/>
        </w:rPr>
        <w:t xml:space="preserve">Bruce was on the NSW State Council of the CAANZ (previously being Chairman) from 2007 to 2011, as well as being a </w:t>
      </w:r>
      <w:r w:rsidR="0058686E" w:rsidRPr="00E74B4B">
        <w:rPr>
          <w:color w:val="auto"/>
          <w:sz w:val="20"/>
          <w:szCs w:val="20"/>
        </w:rPr>
        <w:t>f</w:t>
      </w:r>
      <w:r w:rsidR="008E3E8F" w:rsidRPr="00E74B4B">
        <w:rPr>
          <w:color w:val="auto"/>
          <w:sz w:val="20"/>
          <w:szCs w:val="20"/>
        </w:rPr>
        <w:t>ormer Junior Vice President of the Western Sydney Business Connection. He has been assisting the</w:t>
      </w:r>
      <w:r w:rsidR="0058686E" w:rsidRPr="00E74B4B">
        <w:rPr>
          <w:color w:val="auto"/>
          <w:sz w:val="20"/>
          <w:szCs w:val="20"/>
        </w:rPr>
        <w:t xml:space="preserve"> CAANZ regarding the Senate I</w:t>
      </w:r>
      <w:r w:rsidR="008E3E8F" w:rsidRPr="00E74B4B">
        <w:rPr>
          <w:color w:val="auto"/>
          <w:sz w:val="20"/>
          <w:szCs w:val="20"/>
        </w:rPr>
        <w:t xml:space="preserve">nquiry and other </w:t>
      </w:r>
      <w:r w:rsidR="0058686E" w:rsidRPr="00E74B4B">
        <w:rPr>
          <w:color w:val="auto"/>
          <w:sz w:val="20"/>
          <w:szCs w:val="20"/>
        </w:rPr>
        <w:t>insolvency reforms proposed by the f</w:t>
      </w:r>
      <w:r w:rsidR="008E3E8F" w:rsidRPr="00E74B4B">
        <w:rPr>
          <w:color w:val="auto"/>
          <w:sz w:val="20"/>
          <w:szCs w:val="20"/>
        </w:rPr>
        <w:t xml:space="preserve">ederal Treasury and other </w:t>
      </w:r>
      <w:r w:rsidR="0058686E" w:rsidRPr="00E74B4B">
        <w:rPr>
          <w:color w:val="auto"/>
          <w:sz w:val="20"/>
          <w:szCs w:val="20"/>
        </w:rPr>
        <w:t>state agencies</w:t>
      </w:r>
      <w:r w:rsidR="008E3E8F" w:rsidRPr="00E74B4B">
        <w:rPr>
          <w:color w:val="auto"/>
          <w:sz w:val="20"/>
          <w:szCs w:val="20"/>
        </w:rPr>
        <w:t xml:space="preserve">. He is presently the Chairman of the Insolvency Management Committee which is a </w:t>
      </w:r>
      <w:r w:rsidR="008E3E8F" w:rsidRPr="00E74B4B">
        <w:rPr>
          <w:color w:val="auto"/>
          <w:sz w:val="20"/>
          <w:szCs w:val="20"/>
        </w:rPr>
        <w:lastRenderedPageBreak/>
        <w:t xml:space="preserve">specialist committee of the CAANZ. He </w:t>
      </w:r>
      <w:r w:rsidR="00843C1E" w:rsidRPr="00E74B4B">
        <w:rPr>
          <w:color w:val="auto"/>
          <w:sz w:val="20"/>
          <w:szCs w:val="20"/>
        </w:rPr>
        <w:t xml:space="preserve">was </w:t>
      </w:r>
      <w:r w:rsidR="008E3E8F" w:rsidRPr="00E74B4B">
        <w:rPr>
          <w:color w:val="auto"/>
          <w:sz w:val="20"/>
          <w:szCs w:val="20"/>
        </w:rPr>
        <w:t xml:space="preserve">also </w:t>
      </w:r>
      <w:r w:rsidR="00843C1E" w:rsidRPr="00E74B4B">
        <w:rPr>
          <w:color w:val="auto"/>
          <w:sz w:val="20"/>
          <w:szCs w:val="20"/>
        </w:rPr>
        <w:t>on</w:t>
      </w:r>
      <w:r w:rsidR="008E3E8F" w:rsidRPr="00E74B4B">
        <w:rPr>
          <w:color w:val="auto"/>
          <w:sz w:val="20"/>
          <w:szCs w:val="20"/>
        </w:rPr>
        <w:t xml:space="preserve"> the ARITA NSW/ACT Committee</w:t>
      </w:r>
      <w:r w:rsidR="00843C1E" w:rsidRPr="00E74B4B">
        <w:rPr>
          <w:color w:val="auto"/>
          <w:sz w:val="20"/>
          <w:szCs w:val="20"/>
        </w:rPr>
        <w:t xml:space="preserve"> during 2015</w:t>
      </w:r>
      <w:r w:rsidR="00C44375" w:rsidRPr="00E74B4B">
        <w:rPr>
          <w:color w:val="auto"/>
          <w:sz w:val="20"/>
          <w:szCs w:val="20"/>
        </w:rPr>
        <w:t xml:space="preserve">. </w:t>
      </w:r>
      <w:r w:rsidR="008E3E8F" w:rsidRPr="00E74B4B">
        <w:rPr>
          <w:color w:val="auto"/>
          <w:sz w:val="20"/>
          <w:szCs w:val="20"/>
        </w:rPr>
        <w:t xml:space="preserve">Bruce has in excess of </w:t>
      </w:r>
      <w:r w:rsidR="0058686E" w:rsidRPr="00E74B4B">
        <w:rPr>
          <w:color w:val="auto"/>
          <w:sz w:val="20"/>
          <w:szCs w:val="20"/>
        </w:rPr>
        <w:t>15</w:t>
      </w:r>
      <w:r w:rsidR="008E3E8F" w:rsidRPr="00E74B4B">
        <w:rPr>
          <w:color w:val="auto"/>
          <w:sz w:val="20"/>
          <w:szCs w:val="20"/>
        </w:rPr>
        <w:t xml:space="preserve"> years corporate insolvency and re</w:t>
      </w:r>
      <w:r w:rsidR="00C44375" w:rsidRPr="00E74B4B">
        <w:rPr>
          <w:color w:val="auto"/>
          <w:sz w:val="20"/>
          <w:szCs w:val="20"/>
        </w:rPr>
        <w:noBreakHyphen/>
      </w:r>
      <w:r w:rsidR="008E3E8F" w:rsidRPr="00E74B4B">
        <w:rPr>
          <w:color w:val="auto"/>
          <w:sz w:val="20"/>
          <w:szCs w:val="20"/>
        </w:rPr>
        <w:t>organisation and bankruptcy experience. Bruce has also held roles in commerce with several Top 100 Companies (James Hardie and AMP) to further add to his professional skills in areas such as compliance and project management.</w:t>
      </w:r>
    </w:p>
    <w:p w14:paraId="7BA7174F" w14:textId="43C8E7F3" w:rsidR="002E303D" w:rsidRPr="00AB39A0" w:rsidRDefault="00E44A55" w:rsidP="0000696C">
      <w:pPr>
        <w:pStyle w:val="CAR-DecisionHead"/>
        <w:jc w:val="both"/>
      </w:pPr>
      <w:r>
        <w:t>Kerrie Howard</w:t>
      </w:r>
    </w:p>
    <w:p w14:paraId="543630B4" w14:textId="77E3C345" w:rsidR="005B6C28" w:rsidRPr="00E44A55" w:rsidRDefault="00E44A55" w:rsidP="0000696C">
      <w:pPr>
        <w:jc w:val="both"/>
        <w:rPr>
          <w:sz w:val="20"/>
          <w:szCs w:val="20"/>
        </w:rPr>
      </w:pPr>
      <w:r w:rsidRPr="00E44A55">
        <w:rPr>
          <w:rFonts w:cs="Tahoma"/>
          <w:sz w:val="20"/>
          <w:szCs w:val="20"/>
          <w:lang w:val="en"/>
        </w:rPr>
        <w:t>Kerrie Howard is the General Counsel and Company Secretary of Victorian Funds Management Corporation. Kerrie has an extensive background in financial services including having worked in the regulatory sector and has held external directorships in government-related entities and the community sector.</w:t>
      </w:r>
    </w:p>
    <w:p w14:paraId="3F847414" w14:textId="2E0A1E15" w:rsidR="00E44A55" w:rsidRPr="00AB39A0" w:rsidRDefault="00E44A55" w:rsidP="0000696C">
      <w:pPr>
        <w:pStyle w:val="CAR-DecisionHead"/>
        <w:jc w:val="both"/>
      </w:pPr>
      <w:r>
        <w:t>Inge Kindermann</w:t>
      </w:r>
    </w:p>
    <w:p w14:paraId="70007E04" w14:textId="16CB023E" w:rsidR="00E44A55" w:rsidRPr="001B17DC" w:rsidRDefault="001B17DC" w:rsidP="0000696C">
      <w:pPr>
        <w:pStyle w:val="CAR-DecisionHead"/>
        <w:spacing w:before="0" w:after="240"/>
        <w:jc w:val="both"/>
        <w:rPr>
          <w:rFonts w:ascii="Book Antiqua" w:hAnsi="Book Antiqua"/>
          <w:b w:val="0"/>
          <w:szCs w:val="20"/>
        </w:rPr>
      </w:pPr>
      <w:r w:rsidRPr="001B17DC">
        <w:rPr>
          <w:rFonts w:ascii="Book Antiqua" w:hAnsi="Book Antiqua" w:cs="Tahoma"/>
          <w:b w:val="0"/>
          <w:lang w:val="en"/>
        </w:rPr>
        <w:t>Inge Kindermann is a lawyer with extensive experience in restructuring, corporations and insolvency law.  She is currently the Head of Legal – Lending Services at ANZ and has previously held a senior position in private practice (Minter Ellison).</w:t>
      </w:r>
    </w:p>
    <w:p w14:paraId="3DF73EBC" w14:textId="5DEF4940" w:rsidR="002E303D" w:rsidRPr="00AB39A0" w:rsidRDefault="005B6C28" w:rsidP="0000696C">
      <w:pPr>
        <w:pStyle w:val="CAR-DecisionHead"/>
        <w:jc w:val="both"/>
      </w:pPr>
      <w:r w:rsidRPr="00AB39A0">
        <w:t>Eric Passaris</w:t>
      </w:r>
    </w:p>
    <w:p w14:paraId="512E87DD" w14:textId="42CFC4E6" w:rsidR="005B6C28" w:rsidRPr="00AB39A0" w:rsidRDefault="002E303D" w:rsidP="0000696C">
      <w:pPr>
        <w:jc w:val="both"/>
      </w:pPr>
      <w:r w:rsidRPr="00AB39A0">
        <w:rPr>
          <w:sz w:val="20"/>
          <w:szCs w:val="20"/>
        </w:rPr>
        <w:t xml:space="preserve">Eric Passaris is a partner with Grant Thornton in Melbourne and has specialised in audit and assurance services for over 25 years. Eric is a registered company auditor and a member of </w:t>
      </w:r>
      <w:r w:rsidR="003B5496" w:rsidRPr="00AB39A0">
        <w:rPr>
          <w:sz w:val="20"/>
          <w:szCs w:val="20"/>
        </w:rPr>
        <w:t>CAANZ</w:t>
      </w:r>
      <w:r w:rsidRPr="00AB39A0">
        <w:rPr>
          <w:sz w:val="20"/>
          <w:szCs w:val="20"/>
        </w:rPr>
        <w:t xml:space="preserve"> and CPA Australia</w:t>
      </w:r>
      <w:r w:rsidR="00494F86" w:rsidRPr="00AB39A0">
        <w:rPr>
          <w:sz w:val="20"/>
          <w:szCs w:val="20"/>
        </w:rPr>
        <w:t xml:space="preserve">. </w:t>
      </w:r>
      <w:r w:rsidRPr="00AB39A0">
        <w:rPr>
          <w:sz w:val="20"/>
          <w:szCs w:val="20"/>
        </w:rPr>
        <w:t>He is a member of CPA Australia</w:t>
      </w:r>
      <w:r w:rsidR="00C44375" w:rsidRPr="00AB39A0">
        <w:rPr>
          <w:sz w:val="20"/>
          <w:szCs w:val="20"/>
        </w:rPr>
        <w:t>’</w:t>
      </w:r>
      <w:r w:rsidRPr="00AB39A0">
        <w:rPr>
          <w:sz w:val="20"/>
          <w:szCs w:val="20"/>
        </w:rPr>
        <w:t>s Disciplinary Committee and is called upon to provide expert evidence in auditor/accountant professional negligence cases for legal proceedings, commercial disputes, insurance claims and disciplinary proceedings.</w:t>
      </w:r>
    </w:p>
    <w:p w14:paraId="326C74BA" w14:textId="1718BA81" w:rsidR="002E303D" w:rsidRPr="00AB39A0" w:rsidRDefault="005B6C28" w:rsidP="0000696C">
      <w:pPr>
        <w:pStyle w:val="CAR-DecisionHead"/>
        <w:jc w:val="both"/>
      </w:pPr>
      <w:r w:rsidRPr="00AB39A0">
        <w:t>Karen O</w:t>
      </w:r>
      <w:r w:rsidR="00C44375" w:rsidRPr="00AB39A0">
        <w:t>’</w:t>
      </w:r>
      <w:r w:rsidRPr="00AB39A0">
        <w:t>Flynn</w:t>
      </w:r>
    </w:p>
    <w:p w14:paraId="05C6E3BF" w14:textId="3620AA54" w:rsidR="002E303D" w:rsidRPr="00AB39A0" w:rsidRDefault="00140CD5" w:rsidP="0000696C">
      <w:pPr>
        <w:jc w:val="both"/>
      </w:pPr>
      <w:r>
        <w:rPr>
          <w:sz w:val="20"/>
          <w:szCs w:val="20"/>
        </w:rPr>
        <w:t>Karen O’Flynn is a Partner of Clayton Utz and leads that firm’s restructuring and insolvency practice. Karen is a member of the Insolvency Section of the International Bar Association and a member of the International Insolvency Institute.</w:t>
      </w:r>
    </w:p>
    <w:p w14:paraId="3A1BBBE4" w14:textId="77777777" w:rsidR="00193CDA" w:rsidRPr="00AB39A0" w:rsidRDefault="00193CDA" w:rsidP="0000696C">
      <w:pPr>
        <w:pStyle w:val="CAR-BodyText-Left"/>
        <w:jc w:val="both"/>
      </w:pPr>
    </w:p>
    <w:p w14:paraId="5503DD13" w14:textId="77777777" w:rsidR="00193CDA" w:rsidRPr="00AB39A0" w:rsidRDefault="00193CDA" w:rsidP="00E621BC">
      <w:pPr>
        <w:pStyle w:val="CAR-BodyText-Left"/>
        <w:sectPr w:rsidR="00193CDA" w:rsidRPr="00AB39A0" w:rsidSect="000450F5">
          <w:headerReference w:type="default" r:id="rId39"/>
          <w:type w:val="oddPage"/>
          <w:pgSz w:w="11907" w:h="16834" w:code="9"/>
          <w:pgMar w:top="2466" w:right="2098" w:bottom="2466" w:left="2098" w:header="1899" w:footer="1899" w:gutter="0"/>
          <w:cols w:space="720"/>
          <w:docGrid w:linePitch="326"/>
        </w:sectPr>
      </w:pPr>
    </w:p>
    <w:p w14:paraId="10450FD3" w14:textId="77777777" w:rsidR="002E303D" w:rsidRPr="00AB39A0" w:rsidRDefault="005B6C28" w:rsidP="003E551F">
      <w:pPr>
        <w:pStyle w:val="AppendixHeading"/>
        <w:spacing w:before="240" w:after="240"/>
      </w:pPr>
      <w:bookmarkStart w:id="34" w:name="_Toc460850473"/>
      <w:r w:rsidRPr="00AB39A0">
        <w:lastRenderedPageBreak/>
        <w:t>Appendix 3</w:t>
      </w:r>
      <w:bookmarkEnd w:id="34"/>
    </w:p>
    <w:p w14:paraId="447CD709" w14:textId="66E52BC4" w:rsidR="005B6C28" w:rsidRPr="00AB39A0" w:rsidRDefault="005776E2" w:rsidP="0058686E">
      <w:pPr>
        <w:pStyle w:val="Heading2"/>
        <w:spacing w:before="180"/>
      </w:pPr>
      <w:bookmarkStart w:id="35" w:name="_Toc460850474"/>
      <w:r w:rsidRPr="00AB39A0">
        <w:t>Decisions g</w:t>
      </w:r>
      <w:r w:rsidR="005B6C28" w:rsidRPr="00AB39A0">
        <w:t xml:space="preserve">azetted during the year ended 30 June </w:t>
      </w:r>
      <w:r w:rsidR="001B17DC">
        <w:t>201</w:t>
      </w:r>
      <w:bookmarkEnd w:id="35"/>
      <w:r w:rsidR="00F56B2D">
        <w:t>7</w:t>
      </w:r>
    </w:p>
    <w:p w14:paraId="39265755" w14:textId="77777777" w:rsidR="00CB5F63" w:rsidRPr="00CB5F63" w:rsidRDefault="00CB5F63" w:rsidP="00B04A7B">
      <w:pPr>
        <w:pStyle w:val="Heading1"/>
        <w:ind w:right="56"/>
        <w:jc w:val="both"/>
        <w:rPr>
          <w:rFonts w:ascii="Book Antiqua" w:hAnsi="Book Antiqua"/>
          <w:b w:val="0"/>
          <w:bCs w:val="0"/>
          <w:color w:val="000000"/>
          <w:sz w:val="20"/>
          <w:szCs w:val="20"/>
        </w:rPr>
      </w:pPr>
      <w:r w:rsidRPr="00CB5F63">
        <w:rPr>
          <w:rFonts w:ascii="Book Antiqua" w:hAnsi="Book Antiqua"/>
          <w:b w:val="0"/>
          <w:color w:val="000000"/>
          <w:sz w:val="20"/>
          <w:szCs w:val="20"/>
        </w:rPr>
        <w:t>Corporations Act 2001</w:t>
      </w:r>
    </w:p>
    <w:p w14:paraId="0EF12C07" w14:textId="77777777" w:rsidR="00CB5F63" w:rsidRPr="00CB5F63" w:rsidRDefault="00CB5F63" w:rsidP="00B04A7B">
      <w:pPr>
        <w:ind w:right="56"/>
        <w:jc w:val="both"/>
        <w:rPr>
          <w:sz w:val="20"/>
          <w:szCs w:val="20"/>
        </w:rPr>
      </w:pPr>
      <w:r w:rsidRPr="00CB5F63">
        <w:rPr>
          <w:sz w:val="20"/>
          <w:szCs w:val="20"/>
        </w:rPr>
        <w:t>SECTION 1296(1)(c)</w:t>
      </w:r>
    </w:p>
    <w:p w14:paraId="5532BB58" w14:textId="77777777" w:rsidR="00CB5F63" w:rsidRPr="00CB5F63" w:rsidRDefault="00CB5F63" w:rsidP="00B04A7B">
      <w:pPr>
        <w:ind w:right="56"/>
        <w:jc w:val="both"/>
        <w:rPr>
          <w:sz w:val="20"/>
          <w:szCs w:val="20"/>
        </w:rPr>
      </w:pPr>
      <w:r w:rsidRPr="00CB5F63">
        <w:rPr>
          <w:sz w:val="20"/>
          <w:szCs w:val="20"/>
        </w:rPr>
        <w:t>NOTICE OF DECISION</w:t>
      </w:r>
    </w:p>
    <w:p w14:paraId="1649FEA8" w14:textId="0E3B77E8" w:rsidR="00CB5F63" w:rsidRPr="00CB5F63" w:rsidRDefault="00CB5F63" w:rsidP="00B04A7B">
      <w:pPr>
        <w:pStyle w:val="BodyText"/>
        <w:spacing w:before="240"/>
        <w:ind w:right="56"/>
        <w:rPr>
          <w:sz w:val="20"/>
          <w:szCs w:val="20"/>
        </w:rPr>
      </w:pPr>
      <w:r w:rsidRPr="00CB5F63">
        <w:rPr>
          <w:sz w:val="20"/>
          <w:szCs w:val="20"/>
        </w:rPr>
        <w:t xml:space="preserve">At a hearing held pursuant to </w:t>
      </w:r>
      <w:r w:rsidR="0067103D">
        <w:rPr>
          <w:sz w:val="20"/>
          <w:szCs w:val="20"/>
        </w:rPr>
        <w:t>Section</w:t>
      </w:r>
      <w:r w:rsidRPr="00CB5F63">
        <w:rPr>
          <w:sz w:val="20"/>
          <w:szCs w:val="20"/>
        </w:rPr>
        <w:t xml:space="preserve"> 1294 of the Corporations Act 2001 ("Act"), commencing on </w:t>
      </w:r>
      <w:r w:rsidRPr="00CB5F63">
        <w:rPr>
          <w:noProof/>
          <w:sz w:val="20"/>
          <w:szCs w:val="20"/>
        </w:rPr>
        <w:t>27 July 2015,</w:t>
      </w:r>
      <w:r w:rsidRPr="00CB5F63">
        <w:rPr>
          <w:sz w:val="20"/>
          <w:szCs w:val="20"/>
        </w:rPr>
        <w:t xml:space="preserve"> a Panel of the Companies Auditors and Liquidators Disciplinary Board ("Panel") decided that it was satisfied, on an application by the Australian Securities and Investments Commission that </w:t>
      </w:r>
      <w:r w:rsidRPr="00CB5F63">
        <w:rPr>
          <w:b/>
          <w:bCs/>
          <w:noProof/>
          <w:sz w:val="20"/>
          <w:szCs w:val="20"/>
        </w:rPr>
        <w:t>Randall Clinton JOUBERT</w:t>
      </w:r>
      <w:r w:rsidRPr="00CB5F63">
        <w:rPr>
          <w:sz w:val="20"/>
          <w:szCs w:val="20"/>
        </w:rPr>
        <w:t xml:space="preserve">, a registered </w:t>
      </w:r>
      <w:r w:rsidRPr="00CB5F63">
        <w:rPr>
          <w:noProof/>
          <w:sz w:val="20"/>
          <w:szCs w:val="20"/>
        </w:rPr>
        <w:t>liquidator</w:t>
      </w:r>
      <w:r w:rsidRPr="00CB5F63">
        <w:rPr>
          <w:sz w:val="20"/>
          <w:szCs w:val="20"/>
        </w:rPr>
        <w:t xml:space="preserve">, has failed to carry out or perform adequately and properly the duties of a liquidator within the meaning of </w:t>
      </w:r>
      <w:r w:rsidR="0067103D">
        <w:rPr>
          <w:sz w:val="20"/>
          <w:szCs w:val="20"/>
        </w:rPr>
        <w:t>Sub-Section</w:t>
      </w:r>
      <w:r w:rsidRPr="00CB5F63">
        <w:rPr>
          <w:sz w:val="20"/>
          <w:szCs w:val="20"/>
        </w:rPr>
        <w:t xml:space="preserve"> 1292(2)(d)(i) of the Act and is not a fit and proper person to remain registered as a liquidator within the meaning of </w:t>
      </w:r>
      <w:r w:rsidR="0067103D">
        <w:rPr>
          <w:sz w:val="20"/>
          <w:szCs w:val="20"/>
        </w:rPr>
        <w:t>Sub-Section</w:t>
      </w:r>
      <w:r w:rsidRPr="00CB5F63">
        <w:rPr>
          <w:sz w:val="20"/>
          <w:szCs w:val="20"/>
        </w:rPr>
        <w:t xml:space="preserve"> 1292(2)(d) of the Act.  On 11 May 2016 the Panel decided to exercise its powers under </w:t>
      </w:r>
      <w:r w:rsidR="0067103D">
        <w:rPr>
          <w:sz w:val="20"/>
          <w:szCs w:val="20"/>
        </w:rPr>
        <w:t>Section</w:t>
      </w:r>
      <w:r w:rsidRPr="00CB5F63">
        <w:rPr>
          <w:sz w:val="20"/>
          <w:szCs w:val="20"/>
        </w:rPr>
        <w:t xml:space="preserve"> 1292(2) of the Act by ordering that the registration of </w:t>
      </w:r>
      <w:r w:rsidRPr="00CB5F63">
        <w:rPr>
          <w:b/>
          <w:bCs/>
          <w:noProof/>
          <w:sz w:val="20"/>
          <w:szCs w:val="20"/>
        </w:rPr>
        <w:t>Randall Clinton JOUBERT</w:t>
      </w:r>
      <w:r w:rsidRPr="00CB5F63" w:rsidDel="00A976CA">
        <w:rPr>
          <w:sz w:val="20"/>
          <w:szCs w:val="20"/>
        </w:rPr>
        <w:t xml:space="preserve"> </w:t>
      </w:r>
      <w:r w:rsidRPr="00CB5F63">
        <w:rPr>
          <w:sz w:val="20"/>
          <w:szCs w:val="20"/>
        </w:rPr>
        <w:t xml:space="preserve">as a liquidator be cancelled.  </w:t>
      </w:r>
    </w:p>
    <w:p w14:paraId="2FBB24C9" w14:textId="77777777" w:rsidR="00CB5F63" w:rsidRPr="00CB5F63" w:rsidRDefault="00CB5F63" w:rsidP="00B04A7B">
      <w:pPr>
        <w:pStyle w:val="Level1fo"/>
        <w:tabs>
          <w:tab w:val="left" w:pos="851"/>
        </w:tabs>
        <w:ind w:left="0" w:right="56"/>
        <w:jc w:val="both"/>
        <w:rPr>
          <w:rFonts w:ascii="Book Antiqua" w:hAnsi="Book Antiqua"/>
          <w:b/>
          <w:sz w:val="20"/>
          <w:szCs w:val="20"/>
        </w:rPr>
      </w:pPr>
      <w:r w:rsidRPr="00CB5F63">
        <w:rPr>
          <w:rFonts w:ascii="Book Antiqua" w:hAnsi="Book Antiqua"/>
          <w:b/>
          <w:sz w:val="20"/>
          <w:szCs w:val="20"/>
        </w:rPr>
        <w:t>Dated:</w:t>
      </w:r>
      <w:r w:rsidRPr="00CB5F63">
        <w:rPr>
          <w:rFonts w:ascii="Book Antiqua" w:hAnsi="Book Antiqua"/>
          <w:b/>
          <w:sz w:val="20"/>
          <w:szCs w:val="20"/>
        </w:rPr>
        <w:tab/>
        <w:t>11 May 2016</w:t>
      </w:r>
    </w:p>
    <w:p w14:paraId="57DE3F75" w14:textId="77777777" w:rsidR="00CB5F63" w:rsidRPr="00CB5F63" w:rsidRDefault="00CB5F63" w:rsidP="00B04A7B">
      <w:pPr>
        <w:pStyle w:val="Heading1"/>
        <w:spacing w:before="720"/>
        <w:ind w:right="56"/>
        <w:jc w:val="both"/>
        <w:rPr>
          <w:rFonts w:ascii="Book Antiqua" w:hAnsi="Book Antiqua"/>
          <w:bCs w:val="0"/>
          <w:color w:val="auto"/>
          <w:sz w:val="20"/>
          <w:szCs w:val="20"/>
        </w:rPr>
      </w:pPr>
      <w:r w:rsidRPr="00CB5F63">
        <w:rPr>
          <w:rFonts w:ascii="Book Antiqua" w:hAnsi="Book Antiqua"/>
          <w:color w:val="auto"/>
          <w:sz w:val="20"/>
          <w:szCs w:val="20"/>
        </w:rPr>
        <w:t>Gary K Hoare</w:t>
      </w:r>
    </w:p>
    <w:p w14:paraId="0435577B" w14:textId="77777777" w:rsidR="00CB5F63" w:rsidRPr="00CB5F63" w:rsidRDefault="00CB5F63" w:rsidP="00B04A7B">
      <w:pPr>
        <w:pStyle w:val="Level1fo"/>
        <w:spacing w:before="0"/>
        <w:ind w:left="0" w:right="56"/>
        <w:jc w:val="both"/>
        <w:rPr>
          <w:rFonts w:ascii="Book Antiqua" w:hAnsi="Book Antiqua"/>
          <w:sz w:val="20"/>
          <w:szCs w:val="20"/>
        </w:rPr>
      </w:pPr>
      <w:r w:rsidRPr="00CB5F63">
        <w:rPr>
          <w:rFonts w:ascii="Book Antiqua" w:hAnsi="Book Antiqua"/>
          <w:sz w:val="20"/>
          <w:szCs w:val="20"/>
        </w:rPr>
        <w:t>Registrar</w:t>
      </w:r>
    </w:p>
    <w:p w14:paraId="0D69B359" w14:textId="77777777" w:rsidR="00CB5F63" w:rsidRPr="00CB5F63" w:rsidRDefault="00CB5F63" w:rsidP="00B04A7B">
      <w:pPr>
        <w:pStyle w:val="Level1fo"/>
        <w:spacing w:before="0"/>
        <w:ind w:left="0" w:right="56"/>
        <w:jc w:val="both"/>
        <w:rPr>
          <w:rFonts w:ascii="Book Antiqua" w:hAnsi="Book Antiqua"/>
          <w:sz w:val="20"/>
          <w:szCs w:val="20"/>
        </w:rPr>
      </w:pPr>
    </w:p>
    <w:p w14:paraId="2B121082" w14:textId="77777777" w:rsidR="00CB5F63" w:rsidRPr="00231081" w:rsidRDefault="00CB5F63" w:rsidP="00B04A7B">
      <w:pPr>
        <w:pStyle w:val="Level1fo"/>
        <w:spacing w:before="0"/>
        <w:ind w:left="0" w:right="56"/>
        <w:jc w:val="both"/>
        <w:rPr>
          <w:rFonts w:ascii="Times New Roman" w:hAnsi="Times New Roman"/>
          <w:sz w:val="24"/>
        </w:rPr>
      </w:pPr>
      <w:r w:rsidRPr="00CB5F63">
        <w:rPr>
          <w:rFonts w:ascii="Book Antiqua" w:hAnsi="Book Antiqua"/>
          <w:sz w:val="20"/>
          <w:szCs w:val="20"/>
        </w:rPr>
        <w:t>On 17 May 2016 Mr Joubert applied to the Administrative Appeals Tribunal ("AAT") for a review of the Board's decision as to the sanction imposed by the Board.  The AAT placed a temporary stay on the implementation of the Board's decision (subject to conditions) until the matter has been reviewed by the AAT.  That temporary stay included a temporary stay in respect of the lodgement of this notice and the publication of the Board's Decision and Reasons.  On 21 July 2016 the AAT lifted the temporary stay in respect of the lodgement of this notice and the publication of the Board's Decision and Reasons.  The stay in respect of the implementation of the Board's decision remains in place pending a substantive hearing by the AAT of Mr Joubert's appeal on a date to be set.</w:t>
      </w:r>
      <w:r>
        <w:rPr>
          <w:rFonts w:ascii="Times New Roman" w:hAnsi="Times New Roman"/>
          <w:sz w:val="24"/>
        </w:rPr>
        <w:t xml:space="preserve">  </w:t>
      </w:r>
    </w:p>
    <w:p w14:paraId="13A4DA4D" w14:textId="77777777" w:rsidR="0000696C" w:rsidRDefault="0000696C" w:rsidP="00B04A7B">
      <w:pPr>
        <w:pStyle w:val="Heading1"/>
        <w:ind w:right="56"/>
        <w:jc w:val="both"/>
        <w:rPr>
          <w:rFonts w:ascii="Book Antiqua" w:hAnsi="Book Antiqua"/>
          <w:b w:val="0"/>
          <w:color w:val="000000"/>
          <w:sz w:val="20"/>
          <w:szCs w:val="20"/>
          <w:lang w:val="en-AU"/>
        </w:rPr>
      </w:pPr>
    </w:p>
    <w:p w14:paraId="3657887A" w14:textId="77777777" w:rsidR="0000696C" w:rsidRDefault="0000696C" w:rsidP="00B04A7B">
      <w:pPr>
        <w:pStyle w:val="Heading1"/>
        <w:ind w:right="56"/>
        <w:jc w:val="both"/>
        <w:rPr>
          <w:rFonts w:ascii="Book Antiqua" w:hAnsi="Book Antiqua"/>
          <w:b w:val="0"/>
          <w:color w:val="000000"/>
          <w:sz w:val="20"/>
          <w:szCs w:val="20"/>
          <w:lang w:val="en-AU"/>
        </w:rPr>
      </w:pPr>
    </w:p>
    <w:p w14:paraId="5BD10288" w14:textId="77777777" w:rsidR="0000696C" w:rsidRPr="0000696C" w:rsidRDefault="0000696C" w:rsidP="00B04A7B">
      <w:pPr>
        <w:pStyle w:val="Heading1"/>
        <w:ind w:right="56"/>
        <w:jc w:val="both"/>
        <w:rPr>
          <w:rFonts w:ascii="Book Antiqua" w:hAnsi="Book Antiqua"/>
          <w:b w:val="0"/>
          <w:bCs w:val="0"/>
          <w:color w:val="000000"/>
          <w:sz w:val="20"/>
          <w:szCs w:val="20"/>
        </w:rPr>
      </w:pPr>
      <w:r w:rsidRPr="0000696C">
        <w:rPr>
          <w:rFonts w:ascii="Book Antiqua" w:hAnsi="Book Antiqua"/>
          <w:b w:val="0"/>
          <w:color w:val="000000"/>
          <w:sz w:val="20"/>
          <w:szCs w:val="20"/>
        </w:rPr>
        <w:t>Corporations Act 2001</w:t>
      </w:r>
    </w:p>
    <w:p w14:paraId="7C5B129D" w14:textId="77777777" w:rsidR="0000696C" w:rsidRPr="0000696C" w:rsidRDefault="0000696C" w:rsidP="00B04A7B">
      <w:pPr>
        <w:ind w:right="56"/>
        <w:jc w:val="both"/>
        <w:rPr>
          <w:sz w:val="20"/>
          <w:szCs w:val="20"/>
        </w:rPr>
      </w:pPr>
      <w:r w:rsidRPr="0000696C">
        <w:rPr>
          <w:sz w:val="20"/>
          <w:szCs w:val="20"/>
        </w:rPr>
        <w:t>SUB-SECTION 1296(1)(c)</w:t>
      </w:r>
    </w:p>
    <w:p w14:paraId="4CE610DD" w14:textId="77777777" w:rsidR="0000696C" w:rsidRPr="0000696C" w:rsidRDefault="0000696C" w:rsidP="00B04A7B">
      <w:pPr>
        <w:ind w:right="56"/>
        <w:jc w:val="both"/>
        <w:rPr>
          <w:sz w:val="20"/>
          <w:szCs w:val="20"/>
        </w:rPr>
      </w:pPr>
      <w:r w:rsidRPr="0000696C">
        <w:rPr>
          <w:sz w:val="20"/>
          <w:szCs w:val="20"/>
        </w:rPr>
        <w:t>NOTICE OF DECISION</w:t>
      </w:r>
    </w:p>
    <w:p w14:paraId="3121C3A1" w14:textId="198AF8D9" w:rsidR="0000696C" w:rsidRPr="0000696C" w:rsidRDefault="0000696C" w:rsidP="00B04A7B">
      <w:pPr>
        <w:pStyle w:val="BodyText"/>
        <w:spacing w:before="240"/>
        <w:ind w:right="56"/>
        <w:rPr>
          <w:sz w:val="20"/>
          <w:szCs w:val="20"/>
        </w:rPr>
      </w:pPr>
      <w:r w:rsidRPr="0000696C">
        <w:rPr>
          <w:sz w:val="20"/>
          <w:szCs w:val="20"/>
        </w:rPr>
        <w:t xml:space="preserve">At a hearing held pursuant to </w:t>
      </w:r>
      <w:r w:rsidR="0067103D">
        <w:rPr>
          <w:sz w:val="20"/>
          <w:szCs w:val="20"/>
        </w:rPr>
        <w:t>Section</w:t>
      </w:r>
      <w:r w:rsidRPr="0000696C">
        <w:rPr>
          <w:sz w:val="20"/>
          <w:szCs w:val="20"/>
        </w:rPr>
        <w:t xml:space="preserve"> 1294 of the Corporations Act 2001 ("Act"), commencing on </w:t>
      </w:r>
      <w:r w:rsidRPr="0000696C">
        <w:rPr>
          <w:noProof/>
          <w:sz w:val="20"/>
          <w:szCs w:val="20"/>
        </w:rPr>
        <w:t>4 October 2016,</w:t>
      </w:r>
      <w:r w:rsidRPr="0000696C">
        <w:rPr>
          <w:sz w:val="20"/>
          <w:szCs w:val="20"/>
        </w:rPr>
        <w:t xml:space="preserve"> the Companies Auditors and Liquidators Disciplinary Board ("Board") decided that it was satisfied within the meaning of </w:t>
      </w:r>
      <w:r w:rsidR="0067103D">
        <w:rPr>
          <w:sz w:val="20"/>
          <w:szCs w:val="20"/>
        </w:rPr>
        <w:t>Sub-Section</w:t>
      </w:r>
      <w:r w:rsidRPr="0000696C">
        <w:rPr>
          <w:sz w:val="20"/>
          <w:szCs w:val="20"/>
        </w:rPr>
        <w:t xml:space="preserve"> 1292(2) of the Act, on an application by the Australian Securities and Investments Commission ("ASIC") that </w:t>
      </w:r>
      <w:r w:rsidRPr="0000696C">
        <w:rPr>
          <w:b/>
          <w:bCs/>
          <w:noProof/>
          <w:sz w:val="20"/>
          <w:szCs w:val="20"/>
        </w:rPr>
        <w:t>Stan TRAIANEDES</w:t>
      </w:r>
      <w:r w:rsidRPr="0000696C">
        <w:rPr>
          <w:sz w:val="20"/>
          <w:szCs w:val="20"/>
        </w:rPr>
        <w:t xml:space="preserve">, a registered </w:t>
      </w:r>
      <w:r w:rsidRPr="0000696C">
        <w:rPr>
          <w:noProof/>
          <w:sz w:val="20"/>
          <w:szCs w:val="20"/>
        </w:rPr>
        <w:t>liquidator</w:t>
      </w:r>
      <w:r w:rsidRPr="0000696C">
        <w:rPr>
          <w:sz w:val="20"/>
          <w:szCs w:val="20"/>
        </w:rPr>
        <w:t xml:space="preserve">, has failed to carry out or perform adequately and properly the duties of a liquidator within the meaning of </w:t>
      </w:r>
      <w:r w:rsidR="0067103D">
        <w:rPr>
          <w:sz w:val="20"/>
          <w:szCs w:val="20"/>
        </w:rPr>
        <w:t>Sub-Section</w:t>
      </w:r>
      <w:r w:rsidRPr="0000696C">
        <w:rPr>
          <w:sz w:val="20"/>
          <w:szCs w:val="20"/>
        </w:rPr>
        <w:t xml:space="preserve"> 1292(2)(d)(i) of the Act.  On 12 December 2016 the Panel decided to exercise its powers under </w:t>
      </w:r>
      <w:r w:rsidR="0067103D">
        <w:rPr>
          <w:sz w:val="20"/>
          <w:szCs w:val="20"/>
        </w:rPr>
        <w:t>Sub-Section</w:t>
      </w:r>
      <w:r w:rsidRPr="0000696C">
        <w:rPr>
          <w:sz w:val="20"/>
          <w:szCs w:val="20"/>
        </w:rPr>
        <w:t xml:space="preserve">s 1292(2) and 1292(9) of the Act by ordering that: </w:t>
      </w:r>
    </w:p>
    <w:p w14:paraId="775ACD0E" w14:textId="77777777" w:rsidR="0000696C" w:rsidRPr="0000696C" w:rsidRDefault="0000696C" w:rsidP="00E43978">
      <w:pPr>
        <w:pStyle w:val="BulletSubpoint"/>
        <w:numPr>
          <w:ilvl w:val="0"/>
          <w:numId w:val="33"/>
        </w:numPr>
        <w:spacing w:before="240" w:after="240"/>
        <w:ind w:left="567" w:right="56" w:hanging="567"/>
        <w:jc w:val="both"/>
        <w:rPr>
          <w:rFonts w:ascii="Book Antiqua" w:hAnsi="Book Antiqua"/>
          <w:bCs/>
          <w:sz w:val="20"/>
          <w:lang w:val="en-AU"/>
        </w:rPr>
      </w:pPr>
      <w:r w:rsidRPr="0000696C">
        <w:rPr>
          <w:rFonts w:ascii="Book Antiqua" w:hAnsi="Book Antiqua"/>
          <w:bCs/>
          <w:sz w:val="20"/>
          <w:lang w:val="en-AU"/>
        </w:rPr>
        <w:t xml:space="preserve">The registration of Mr Stan Traianedes as a liquidator be suspended for a period of 3 years.  </w:t>
      </w:r>
    </w:p>
    <w:p w14:paraId="71797C8E" w14:textId="77777777" w:rsidR="0000696C" w:rsidRPr="0000696C" w:rsidRDefault="0000696C" w:rsidP="00E43978">
      <w:pPr>
        <w:pStyle w:val="BulletSubpoint"/>
        <w:numPr>
          <w:ilvl w:val="0"/>
          <w:numId w:val="33"/>
        </w:numPr>
        <w:spacing w:before="240" w:after="240"/>
        <w:ind w:left="567" w:right="56" w:hanging="567"/>
        <w:jc w:val="both"/>
        <w:rPr>
          <w:rFonts w:ascii="Book Antiqua" w:hAnsi="Book Antiqua"/>
          <w:bCs/>
          <w:sz w:val="20"/>
          <w:lang w:val="en-AU"/>
        </w:rPr>
      </w:pPr>
      <w:r w:rsidRPr="0000696C">
        <w:rPr>
          <w:rFonts w:ascii="Book Antiqua" w:hAnsi="Book Antiqua"/>
          <w:bCs/>
          <w:sz w:val="20"/>
          <w:lang w:val="en-AU"/>
        </w:rPr>
        <w:t xml:space="preserve">Mr Traianedes provide undertakings to the Board and to ASIC in the form attached as Schedule A to this Notice.  </w:t>
      </w:r>
    </w:p>
    <w:p w14:paraId="5CAC5822" w14:textId="77777777" w:rsidR="0000696C" w:rsidRPr="0000696C" w:rsidRDefault="0000696C" w:rsidP="00B04A7B">
      <w:pPr>
        <w:pStyle w:val="BulletSubpoint"/>
        <w:tabs>
          <w:tab w:val="clear" w:pos="1080"/>
        </w:tabs>
        <w:spacing w:before="240" w:after="240"/>
        <w:ind w:left="0" w:right="56" w:firstLine="0"/>
        <w:jc w:val="both"/>
        <w:rPr>
          <w:rFonts w:ascii="Book Antiqua" w:hAnsi="Book Antiqua"/>
          <w:bCs/>
          <w:sz w:val="20"/>
          <w:lang w:val="en-AU"/>
        </w:rPr>
      </w:pPr>
      <w:r w:rsidRPr="0000696C">
        <w:rPr>
          <w:rFonts w:ascii="Book Antiqua" w:hAnsi="Book Antiqua"/>
          <w:bCs/>
          <w:sz w:val="20"/>
          <w:lang w:val="en-AU"/>
        </w:rPr>
        <w:t>The Board further ordered that:</w:t>
      </w:r>
    </w:p>
    <w:p w14:paraId="5ABDF6A1" w14:textId="31C5D173" w:rsidR="0000696C" w:rsidRPr="0000696C" w:rsidRDefault="0000696C" w:rsidP="00E43978">
      <w:pPr>
        <w:pStyle w:val="BulletSubpoint"/>
        <w:numPr>
          <w:ilvl w:val="0"/>
          <w:numId w:val="33"/>
        </w:numPr>
        <w:spacing w:before="240" w:after="240"/>
        <w:ind w:left="567" w:right="56" w:hanging="567"/>
        <w:jc w:val="both"/>
        <w:rPr>
          <w:rFonts w:ascii="Book Antiqua" w:hAnsi="Book Antiqua"/>
          <w:bCs/>
          <w:sz w:val="20"/>
          <w:lang w:val="en-AU"/>
        </w:rPr>
      </w:pPr>
      <w:r w:rsidRPr="0000696C">
        <w:rPr>
          <w:rFonts w:ascii="Book Antiqua" w:hAnsi="Book Antiqua"/>
          <w:bCs/>
          <w:sz w:val="20"/>
          <w:lang w:val="en-AU"/>
        </w:rPr>
        <w:t xml:space="preserve">Pursuant to </w:t>
      </w:r>
      <w:r w:rsidR="0067103D">
        <w:rPr>
          <w:rFonts w:ascii="Book Antiqua" w:hAnsi="Book Antiqua"/>
          <w:bCs/>
          <w:sz w:val="20"/>
          <w:lang w:val="en-AU"/>
        </w:rPr>
        <w:t>Section</w:t>
      </w:r>
      <w:r w:rsidRPr="0000696C">
        <w:rPr>
          <w:rFonts w:ascii="Book Antiqua" w:hAnsi="Book Antiqua"/>
          <w:bCs/>
          <w:sz w:val="20"/>
          <w:lang w:val="en-AU"/>
        </w:rPr>
        <w:t xml:space="preserve"> 223 of the </w:t>
      </w:r>
      <w:r w:rsidRPr="0000696C">
        <w:rPr>
          <w:rFonts w:ascii="Book Antiqua" w:hAnsi="Book Antiqua"/>
          <w:bCs/>
          <w:i/>
          <w:sz w:val="20"/>
          <w:lang w:val="en-AU"/>
        </w:rPr>
        <w:t>Australian Securities and Investments Commission Act 2001</w:t>
      </w:r>
      <w:r w:rsidRPr="0000696C">
        <w:rPr>
          <w:rFonts w:ascii="Book Antiqua" w:hAnsi="Book Antiqua"/>
          <w:bCs/>
          <w:sz w:val="20"/>
          <w:lang w:val="en-AU"/>
        </w:rPr>
        <w:t>, that Mr Traianedes pay ASIC's costs in the fixed sum of $60,000, as follows:</w:t>
      </w:r>
    </w:p>
    <w:p w14:paraId="44AB5601" w14:textId="77777777" w:rsidR="0000696C" w:rsidRPr="0000696C" w:rsidRDefault="0000696C" w:rsidP="00E43978">
      <w:pPr>
        <w:pStyle w:val="BulletSubpoint"/>
        <w:numPr>
          <w:ilvl w:val="1"/>
          <w:numId w:val="34"/>
        </w:numPr>
        <w:spacing w:before="240" w:after="240"/>
        <w:ind w:left="1134" w:right="56" w:hanging="567"/>
        <w:jc w:val="both"/>
        <w:rPr>
          <w:rFonts w:ascii="Book Antiqua" w:hAnsi="Book Antiqua"/>
          <w:bCs/>
          <w:sz w:val="20"/>
          <w:lang w:val="en-AU"/>
        </w:rPr>
      </w:pPr>
      <w:r w:rsidRPr="0000696C">
        <w:rPr>
          <w:rFonts w:ascii="Book Antiqua" w:hAnsi="Book Antiqua"/>
          <w:bCs/>
          <w:sz w:val="20"/>
          <w:lang w:val="en-AU"/>
        </w:rPr>
        <w:t>$18,000 within 7 days of the date of this order;</w:t>
      </w:r>
    </w:p>
    <w:p w14:paraId="7C0F4431" w14:textId="77777777" w:rsidR="0000696C" w:rsidRPr="0000696C" w:rsidRDefault="0000696C" w:rsidP="00E43978">
      <w:pPr>
        <w:pStyle w:val="BulletSubpoint"/>
        <w:numPr>
          <w:ilvl w:val="1"/>
          <w:numId w:val="34"/>
        </w:numPr>
        <w:spacing w:before="240" w:after="240"/>
        <w:ind w:left="1134" w:right="56" w:hanging="567"/>
        <w:jc w:val="both"/>
        <w:rPr>
          <w:rFonts w:ascii="Book Antiqua" w:hAnsi="Book Antiqua"/>
          <w:bCs/>
          <w:sz w:val="20"/>
          <w:lang w:val="en-AU"/>
        </w:rPr>
      </w:pPr>
      <w:r w:rsidRPr="0000696C">
        <w:rPr>
          <w:rFonts w:ascii="Book Antiqua" w:hAnsi="Book Antiqua"/>
          <w:bCs/>
          <w:sz w:val="20"/>
          <w:lang w:val="en-AU"/>
        </w:rPr>
        <w:t>the balance of $42,000 to be paid by the date that is four months from the date in paragraph (c)(i).</w:t>
      </w:r>
    </w:p>
    <w:p w14:paraId="70B81837" w14:textId="5852A813" w:rsidR="0000696C" w:rsidRPr="0000696C" w:rsidRDefault="0000696C" w:rsidP="00E43978">
      <w:pPr>
        <w:pStyle w:val="BulletSubpoint"/>
        <w:numPr>
          <w:ilvl w:val="0"/>
          <w:numId w:val="33"/>
        </w:numPr>
        <w:spacing w:before="240" w:after="240"/>
        <w:ind w:left="567" w:right="56" w:hanging="567"/>
        <w:jc w:val="both"/>
        <w:rPr>
          <w:rFonts w:ascii="Book Antiqua" w:hAnsi="Book Antiqua"/>
          <w:bCs/>
          <w:sz w:val="20"/>
          <w:lang w:val="en-AU"/>
        </w:rPr>
      </w:pPr>
      <w:r w:rsidRPr="0000696C">
        <w:rPr>
          <w:rFonts w:ascii="Book Antiqua" w:hAnsi="Book Antiqua"/>
          <w:bCs/>
          <w:sz w:val="20"/>
          <w:lang w:val="en-AU"/>
        </w:rPr>
        <w:t xml:space="preserve">Pursuant to </w:t>
      </w:r>
      <w:r w:rsidR="0067103D">
        <w:rPr>
          <w:rFonts w:ascii="Book Antiqua" w:hAnsi="Book Antiqua"/>
          <w:sz w:val="20"/>
        </w:rPr>
        <w:t>Sub-Section</w:t>
      </w:r>
      <w:r w:rsidRPr="0000696C">
        <w:rPr>
          <w:rFonts w:ascii="Book Antiqua" w:hAnsi="Book Antiqua"/>
          <w:sz w:val="20"/>
        </w:rPr>
        <w:t xml:space="preserve"> </w:t>
      </w:r>
      <w:r w:rsidRPr="0000696C">
        <w:rPr>
          <w:rFonts w:ascii="Book Antiqua" w:hAnsi="Book Antiqua"/>
          <w:bCs/>
          <w:sz w:val="20"/>
          <w:lang w:val="en-AU"/>
        </w:rPr>
        <w:t xml:space="preserve">1297(1)(b) of the Act, the order for suspension in sub-paragraph (a) to come into effect 28 days from the date of the Board's orders, but otherwise the Board's orders come into effect in accordance with the provisions of </w:t>
      </w:r>
      <w:r w:rsidR="0067103D">
        <w:rPr>
          <w:rFonts w:ascii="Book Antiqua" w:hAnsi="Book Antiqua"/>
          <w:sz w:val="20"/>
        </w:rPr>
        <w:t>Sub-Section</w:t>
      </w:r>
      <w:r w:rsidRPr="0000696C">
        <w:rPr>
          <w:rFonts w:ascii="Book Antiqua" w:hAnsi="Book Antiqua"/>
          <w:sz w:val="20"/>
        </w:rPr>
        <w:t xml:space="preserve"> </w:t>
      </w:r>
      <w:r w:rsidRPr="0000696C">
        <w:rPr>
          <w:rFonts w:ascii="Book Antiqua" w:hAnsi="Book Antiqua"/>
          <w:bCs/>
          <w:sz w:val="20"/>
          <w:lang w:val="en-AU"/>
        </w:rPr>
        <w:t xml:space="preserve">1297(1)(a) of the Act.  </w:t>
      </w:r>
    </w:p>
    <w:p w14:paraId="6185DF1A" w14:textId="77777777" w:rsidR="0000696C" w:rsidRPr="0000696C" w:rsidRDefault="0000696C" w:rsidP="00E43978">
      <w:pPr>
        <w:pStyle w:val="BulletSubpoint"/>
        <w:numPr>
          <w:ilvl w:val="0"/>
          <w:numId w:val="33"/>
        </w:numPr>
        <w:spacing w:before="240" w:after="240"/>
        <w:ind w:left="567" w:right="56" w:hanging="567"/>
        <w:jc w:val="both"/>
        <w:rPr>
          <w:rFonts w:ascii="Book Antiqua" w:hAnsi="Book Antiqua"/>
          <w:bCs/>
          <w:sz w:val="20"/>
          <w:lang w:val="en-AU"/>
        </w:rPr>
      </w:pPr>
      <w:r w:rsidRPr="0000696C">
        <w:rPr>
          <w:rFonts w:ascii="Book Antiqua" w:hAnsi="Book Antiqua"/>
          <w:bCs/>
          <w:sz w:val="20"/>
          <w:lang w:val="en-AU"/>
        </w:rPr>
        <w:t>Liberty be reserved to Mr Traianedes to apply to:</w:t>
      </w:r>
    </w:p>
    <w:p w14:paraId="67CCE2A7" w14:textId="77777777" w:rsidR="0000696C" w:rsidRPr="0000696C" w:rsidRDefault="0000696C" w:rsidP="00E43978">
      <w:pPr>
        <w:pStyle w:val="BulletSubpoint"/>
        <w:numPr>
          <w:ilvl w:val="1"/>
          <w:numId w:val="35"/>
        </w:numPr>
        <w:spacing w:before="240" w:after="240"/>
        <w:ind w:left="1134" w:right="56" w:hanging="567"/>
        <w:jc w:val="both"/>
        <w:rPr>
          <w:rFonts w:ascii="Book Antiqua" w:hAnsi="Book Antiqua"/>
          <w:bCs/>
          <w:sz w:val="20"/>
          <w:lang w:val="en-AU"/>
        </w:rPr>
      </w:pPr>
      <w:r w:rsidRPr="0000696C">
        <w:rPr>
          <w:rFonts w:ascii="Book Antiqua" w:hAnsi="Book Antiqua"/>
          <w:bCs/>
          <w:sz w:val="20"/>
          <w:lang w:val="en-AU"/>
        </w:rPr>
        <w:t>extend the period referred to in paragraph (d) hereof; and/or</w:t>
      </w:r>
    </w:p>
    <w:p w14:paraId="3A200453" w14:textId="77777777" w:rsidR="0000696C" w:rsidRPr="0000696C" w:rsidRDefault="0000696C" w:rsidP="00E43978">
      <w:pPr>
        <w:pStyle w:val="BulletSubpoint"/>
        <w:numPr>
          <w:ilvl w:val="1"/>
          <w:numId w:val="35"/>
        </w:numPr>
        <w:spacing w:before="240" w:after="240"/>
        <w:ind w:left="1134" w:right="56" w:hanging="567"/>
        <w:jc w:val="both"/>
        <w:rPr>
          <w:rFonts w:ascii="Book Antiqua" w:hAnsi="Book Antiqua"/>
          <w:bCs/>
          <w:sz w:val="20"/>
          <w:lang w:val="en-AU"/>
        </w:rPr>
      </w:pPr>
      <w:r w:rsidRPr="0000696C">
        <w:rPr>
          <w:rFonts w:ascii="Book Antiqua" w:hAnsi="Book Antiqua"/>
          <w:bCs/>
          <w:sz w:val="20"/>
          <w:lang w:val="en-AU"/>
        </w:rPr>
        <w:t xml:space="preserve">vary the terms of the undertaking included in Schedule A to these orders.  </w:t>
      </w:r>
    </w:p>
    <w:p w14:paraId="7952ADF4" w14:textId="77777777" w:rsidR="0000696C" w:rsidRPr="0000696C" w:rsidRDefault="0000696C" w:rsidP="00B04A7B">
      <w:pPr>
        <w:pStyle w:val="Level1fo"/>
        <w:tabs>
          <w:tab w:val="left" w:pos="851"/>
        </w:tabs>
        <w:ind w:left="0" w:right="56"/>
        <w:jc w:val="both"/>
        <w:rPr>
          <w:rFonts w:ascii="Book Antiqua" w:hAnsi="Book Antiqua"/>
          <w:b/>
          <w:sz w:val="20"/>
          <w:szCs w:val="20"/>
        </w:rPr>
      </w:pPr>
      <w:r w:rsidRPr="0000696C">
        <w:rPr>
          <w:rFonts w:ascii="Book Antiqua" w:hAnsi="Book Antiqua"/>
          <w:b/>
          <w:sz w:val="20"/>
          <w:szCs w:val="20"/>
        </w:rPr>
        <w:lastRenderedPageBreak/>
        <w:t>Dated:</w:t>
      </w:r>
      <w:r w:rsidRPr="0000696C">
        <w:rPr>
          <w:rFonts w:ascii="Book Antiqua" w:hAnsi="Book Antiqua"/>
          <w:b/>
          <w:sz w:val="20"/>
          <w:szCs w:val="20"/>
        </w:rPr>
        <w:tab/>
        <w:t>12 December 2016</w:t>
      </w:r>
    </w:p>
    <w:p w14:paraId="73E8669E" w14:textId="77777777" w:rsidR="0000696C" w:rsidRPr="0000696C" w:rsidRDefault="0000696C" w:rsidP="00B04A7B">
      <w:pPr>
        <w:pStyle w:val="Heading1"/>
        <w:spacing w:before="720"/>
        <w:ind w:right="56"/>
        <w:jc w:val="both"/>
        <w:rPr>
          <w:rFonts w:ascii="Book Antiqua" w:hAnsi="Book Antiqua"/>
          <w:bCs w:val="0"/>
          <w:color w:val="auto"/>
          <w:sz w:val="20"/>
          <w:szCs w:val="20"/>
        </w:rPr>
      </w:pPr>
      <w:r w:rsidRPr="0000696C">
        <w:rPr>
          <w:rFonts w:ascii="Book Antiqua" w:hAnsi="Book Antiqua"/>
          <w:color w:val="auto"/>
          <w:sz w:val="20"/>
          <w:szCs w:val="20"/>
        </w:rPr>
        <w:t>Gary K Hoare</w:t>
      </w:r>
    </w:p>
    <w:p w14:paraId="35B5BAB4" w14:textId="77777777" w:rsidR="0000696C" w:rsidRPr="0000696C" w:rsidRDefault="0000696C" w:rsidP="00B04A7B">
      <w:pPr>
        <w:pStyle w:val="Level1fo"/>
        <w:spacing w:before="0"/>
        <w:ind w:left="0" w:right="56"/>
        <w:jc w:val="both"/>
        <w:rPr>
          <w:rFonts w:ascii="Book Antiqua" w:hAnsi="Book Antiqua"/>
          <w:sz w:val="20"/>
          <w:szCs w:val="20"/>
        </w:rPr>
      </w:pPr>
      <w:r w:rsidRPr="0000696C">
        <w:rPr>
          <w:rFonts w:ascii="Book Antiqua" w:hAnsi="Book Antiqua"/>
          <w:sz w:val="20"/>
          <w:szCs w:val="20"/>
        </w:rPr>
        <w:t>Registrar</w:t>
      </w:r>
    </w:p>
    <w:p w14:paraId="7BA173F8" w14:textId="46A4338F" w:rsidR="0000696C" w:rsidRPr="0000696C" w:rsidRDefault="0000696C" w:rsidP="00B04A7B">
      <w:pPr>
        <w:pStyle w:val="BulletSubpoint"/>
        <w:tabs>
          <w:tab w:val="clear" w:pos="1080"/>
          <w:tab w:val="left" w:pos="900"/>
        </w:tabs>
        <w:spacing w:before="240" w:after="240"/>
        <w:ind w:left="720" w:right="56" w:firstLine="0"/>
        <w:jc w:val="both"/>
        <w:rPr>
          <w:rFonts w:ascii="Book Antiqua" w:hAnsi="Book Antiqua"/>
          <w:b/>
          <w:bCs/>
          <w:sz w:val="20"/>
          <w:lang w:val="en-AU"/>
        </w:rPr>
      </w:pPr>
      <w:r w:rsidRPr="0000696C">
        <w:rPr>
          <w:rFonts w:ascii="Book Antiqua" w:hAnsi="Book Antiqua"/>
          <w:b/>
          <w:bCs/>
          <w:sz w:val="20"/>
          <w:lang w:val="en-AU"/>
        </w:rPr>
        <w:t>SCHEDULE A TO BOARD</w:t>
      </w:r>
      <w:r w:rsidR="00A51B4C">
        <w:rPr>
          <w:rFonts w:ascii="Book Antiqua" w:hAnsi="Book Antiqua"/>
          <w:b/>
          <w:bCs/>
          <w:sz w:val="20"/>
          <w:lang w:val="en-AU"/>
        </w:rPr>
        <w:t>'</w:t>
      </w:r>
      <w:r w:rsidRPr="0000696C">
        <w:rPr>
          <w:rFonts w:ascii="Book Antiqua" w:hAnsi="Book Antiqua"/>
          <w:b/>
          <w:bCs/>
          <w:sz w:val="20"/>
          <w:lang w:val="en-AU"/>
        </w:rPr>
        <w:t>S ORDERS</w:t>
      </w:r>
    </w:p>
    <w:p w14:paraId="7BEADD10" w14:textId="77777777" w:rsidR="0000696C" w:rsidRPr="0000696C" w:rsidRDefault="0000696C" w:rsidP="00B04A7B">
      <w:pPr>
        <w:pStyle w:val="BulletSubpoint"/>
        <w:tabs>
          <w:tab w:val="clear" w:pos="1080"/>
          <w:tab w:val="left" w:pos="900"/>
        </w:tabs>
        <w:spacing w:before="240" w:after="240"/>
        <w:ind w:left="0" w:right="56" w:firstLine="0"/>
        <w:jc w:val="both"/>
        <w:rPr>
          <w:rFonts w:ascii="Book Antiqua" w:hAnsi="Book Antiqua"/>
          <w:b/>
          <w:bCs/>
          <w:sz w:val="20"/>
          <w:lang w:val="en-AU"/>
        </w:rPr>
      </w:pPr>
      <w:r w:rsidRPr="0000696C">
        <w:rPr>
          <w:rFonts w:ascii="Book Antiqua" w:hAnsi="Book Antiqua"/>
          <w:b/>
          <w:bCs/>
          <w:sz w:val="20"/>
          <w:lang w:val="en-AU"/>
        </w:rPr>
        <w:t>UNDERTAKINGS</w:t>
      </w:r>
    </w:p>
    <w:p w14:paraId="7C2FA545" w14:textId="77777777" w:rsidR="0000696C" w:rsidRPr="0000696C" w:rsidRDefault="0000696C" w:rsidP="00B04A7B">
      <w:pPr>
        <w:spacing w:before="240"/>
        <w:ind w:right="56"/>
        <w:jc w:val="both"/>
        <w:rPr>
          <w:sz w:val="20"/>
          <w:szCs w:val="20"/>
        </w:rPr>
      </w:pPr>
      <w:r w:rsidRPr="0000696C">
        <w:rPr>
          <w:b/>
          <w:sz w:val="20"/>
          <w:szCs w:val="20"/>
        </w:rPr>
        <w:t>Undertaking as to resolution of existing matters</w:t>
      </w:r>
    </w:p>
    <w:p w14:paraId="4AE44F03" w14:textId="77777777" w:rsidR="0000696C" w:rsidRPr="0000696C" w:rsidRDefault="0000696C" w:rsidP="00E43978">
      <w:pPr>
        <w:pStyle w:val="BulletSubpoint"/>
        <w:numPr>
          <w:ilvl w:val="0"/>
          <w:numId w:val="37"/>
        </w:numPr>
        <w:spacing w:before="240" w:after="240"/>
        <w:ind w:left="567" w:right="56" w:hanging="567"/>
        <w:jc w:val="both"/>
        <w:rPr>
          <w:rFonts w:ascii="Book Antiqua" w:hAnsi="Book Antiqua"/>
          <w:bCs/>
          <w:sz w:val="20"/>
          <w:lang w:val="en-AU"/>
        </w:rPr>
      </w:pPr>
      <w:r w:rsidRPr="0000696C">
        <w:rPr>
          <w:rFonts w:ascii="Book Antiqua" w:hAnsi="Book Antiqua"/>
          <w:bCs/>
          <w:sz w:val="20"/>
          <w:lang w:val="en-AU"/>
        </w:rPr>
        <w:t xml:space="preserve">The Respondent </w:t>
      </w:r>
      <w:r w:rsidRPr="0000696C">
        <w:rPr>
          <w:rFonts w:ascii="Book Antiqua" w:hAnsi="Book Antiqua"/>
          <w:b/>
          <w:bCs/>
          <w:sz w:val="20"/>
          <w:lang w:val="en-AU"/>
        </w:rPr>
        <w:t>Mr Traianedes</w:t>
      </w:r>
      <w:r w:rsidRPr="0000696C">
        <w:rPr>
          <w:rFonts w:ascii="Book Antiqua" w:hAnsi="Book Antiqua"/>
          <w:bCs/>
          <w:sz w:val="20"/>
          <w:lang w:val="en-AU"/>
        </w:rPr>
        <w:t xml:space="preserve"> gives the following undertaking to </w:t>
      </w:r>
      <w:r w:rsidRPr="0000696C">
        <w:rPr>
          <w:rFonts w:ascii="Book Antiqua" w:hAnsi="Book Antiqua"/>
          <w:b/>
          <w:bCs/>
          <w:sz w:val="20"/>
          <w:lang w:val="en-AU"/>
        </w:rPr>
        <w:t>the Board</w:t>
      </w:r>
      <w:r w:rsidRPr="0000696C">
        <w:rPr>
          <w:rFonts w:ascii="Book Antiqua" w:hAnsi="Book Antiqua"/>
          <w:bCs/>
          <w:sz w:val="20"/>
          <w:lang w:val="en-AU"/>
        </w:rPr>
        <w:t xml:space="preserve"> and to </w:t>
      </w:r>
      <w:r w:rsidRPr="0000696C">
        <w:rPr>
          <w:rFonts w:ascii="Book Antiqua" w:hAnsi="Book Antiqua"/>
          <w:b/>
          <w:bCs/>
          <w:sz w:val="20"/>
          <w:lang w:val="en-AU"/>
        </w:rPr>
        <w:t>ASIC</w:t>
      </w:r>
      <w:r w:rsidRPr="0000696C">
        <w:rPr>
          <w:rFonts w:ascii="Book Antiqua" w:hAnsi="Book Antiqua"/>
          <w:bCs/>
          <w:sz w:val="20"/>
          <w:lang w:val="en-AU"/>
        </w:rPr>
        <w:t>:</w:t>
      </w:r>
    </w:p>
    <w:p w14:paraId="33B8052D" w14:textId="77777777" w:rsidR="0000696C" w:rsidRPr="0000696C" w:rsidRDefault="0000696C" w:rsidP="00E43978">
      <w:pPr>
        <w:pStyle w:val="BulletSubpoint"/>
        <w:numPr>
          <w:ilvl w:val="0"/>
          <w:numId w:val="38"/>
        </w:numPr>
        <w:spacing w:before="240" w:after="240"/>
        <w:ind w:left="1134" w:right="56" w:hanging="567"/>
        <w:jc w:val="both"/>
        <w:rPr>
          <w:rFonts w:ascii="Book Antiqua" w:hAnsi="Book Antiqua"/>
          <w:bCs/>
          <w:sz w:val="20"/>
          <w:lang w:val="en-AU"/>
        </w:rPr>
      </w:pPr>
      <w:r w:rsidRPr="0000696C">
        <w:rPr>
          <w:rFonts w:ascii="Book Antiqua" w:hAnsi="Book Antiqua"/>
          <w:bCs/>
          <w:sz w:val="20"/>
          <w:lang w:val="en-AU"/>
        </w:rPr>
        <w:t xml:space="preserve">That if for any reason his appointment as liquidator of </w:t>
      </w:r>
      <w:r w:rsidRPr="0000696C">
        <w:rPr>
          <w:rFonts w:ascii="Book Antiqua" w:hAnsi="Book Antiqua"/>
          <w:b/>
          <w:bCs/>
          <w:sz w:val="20"/>
          <w:lang w:val="en-AU"/>
        </w:rPr>
        <w:t>Playzone</w:t>
      </w:r>
      <w:r w:rsidRPr="0000696C">
        <w:rPr>
          <w:rFonts w:ascii="Book Antiqua" w:hAnsi="Book Antiqua"/>
          <w:bCs/>
          <w:sz w:val="20"/>
          <w:lang w:val="en-AU"/>
        </w:rPr>
        <w:t xml:space="preserve"> does not cease on 8 January 2017, he will make all necessary arrangements for the appointment of a replacement liquidator within 28 days of 8 January 2017 such replacement liquidator to be approved by </w:t>
      </w:r>
      <w:r w:rsidRPr="0000696C">
        <w:rPr>
          <w:rFonts w:ascii="Book Antiqua" w:hAnsi="Book Antiqua"/>
          <w:b/>
          <w:bCs/>
          <w:sz w:val="20"/>
          <w:lang w:val="en-AU"/>
        </w:rPr>
        <w:t>ASIC</w:t>
      </w:r>
      <w:r w:rsidRPr="0000696C">
        <w:rPr>
          <w:rFonts w:ascii="Book Antiqua" w:hAnsi="Book Antiqua"/>
          <w:bCs/>
          <w:sz w:val="20"/>
          <w:lang w:val="en-AU"/>
        </w:rPr>
        <w:t xml:space="preserve"> prior to his/her appointment;</w:t>
      </w:r>
    </w:p>
    <w:p w14:paraId="35AB5615" w14:textId="77777777" w:rsidR="0000696C" w:rsidRPr="0000696C" w:rsidRDefault="0000696C" w:rsidP="00E43978">
      <w:pPr>
        <w:pStyle w:val="BulletSubpoint"/>
        <w:numPr>
          <w:ilvl w:val="0"/>
          <w:numId w:val="38"/>
        </w:numPr>
        <w:spacing w:before="240" w:after="240"/>
        <w:ind w:left="1134" w:right="56" w:hanging="567"/>
        <w:jc w:val="both"/>
        <w:rPr>
          <w:rFonts w:ascii="Book Antiqua" w:hAnsi="Book Antiqua"/>
          <w:bCs/>
          <w:sz w:val="20"/>
          <w:lang w:val="en-AU"/>
        </w:rPr>
      </w:pPr>
      <w:r w:rsidRPr="0000696C">
        <w:rPr>
          <w:rFonts w:ascii="Book Antiqua" w:hAnsi="Book Antiqua"/>
          <w:bCs/>
          <w:sz w:val="20"/>
          <w:lang w:val="en-AU"/>
        </w:rPr>
        <w:t xml:space="preserve">That the costs of and incidental to the appointment of replacement liquidators to each of the companies in Schedule B (including, if relevant, </w:t>
      </w:r>
      <w:r w:rsidRPr="0000696C">
        <w:rPr>
          <w:rFonts w:ascii="Book Antiqua" w:hAnsi="Book Antiqua"/>
          <w:b/>
          <w:bCs/>
          <w:sz w:val="20"/>
          <w:lang w:val="en-AU"/>
        </w:rPr>
        <w:t>Playzone</w:t>
      </w:r>
      <w:r w:rsidRPr="0000696C">
        <w:rPr>
          <w:rFonts w:ascii="Book Antiqua" w:hAnsi="Book Antiqua"/>
          <w:bCs/>
          <w:sz w:val="20"/>
          <w:lang w:val="en-AU"/>
        </w:rPr>
        <w:t xml:space="preserve">), will be borne by </w:t>
      </w:r>
      <w:r w:rsidRPr="0000696C">
        <w:rPr>
          <w:rFonts w:ascii="Book Antiqua" w:hAnsi="Book Antiqua"/>
          <w:b/>
          <w:bCs/>
          <w:sz w:val="20"/>
          <w:lang w:val="en-AU"/>
        </w:rPr>
        <w:t>Mr Traianedes</w:t>
      </w:r>
      <w:r w:rsidRPr="0000696C">
        <w:rPr>
          <w:rFonts w:ascii="Book Antiqua" w:hAnsi="Book Antiqua"/>
          <w:bCs/>
          <w:sz w:val="20"/>
          <w:lang w:val="en-AU"/>
        </w:rPr>
        <w:t>, including but not limited to the cost of any necessary Court applications or creditors' meetings;</w:t>
      </w:r>
    </w:p>
    <w:p w14:paraId="09122917" w14:textId="77777777" w:rsidR="0000696C" w:rsidRPr="0000696C" w:rsidRDefault="0000696C" w:rsidP="00E43978">
      <w:pPr>
        <w:pStyle w:val="BulletSubpoint"/>
        <w:numPr>
          <w:ilvl w:val="0"/>
          <w:numId w:val="38"/>
        </w:numPr>
        <w:spacing w:before="240" w:after="240"/>
        <w:ind w:left="1134" w:right="56" w:hanging="567"/>
        <w:jc w:val="both"/>
        <w:rPr>
          <w:rFonts w:ascii="Book Antiqua" w:hAnsi="Book Antiqua"/>
          <w:bCs/>
          <w:sz w:val="20"/>
          <w:lang w:val="en-AU"/>
        </w:rPr>
      </w:pPr>
      <w:r w:rsidRPr="0000696C">
        <w:rPr>
          <w:rFonts w:ascii="Book Antiqua" w:hAnsi="Book Antiqua"/>
          <w:bCs/>
          <w:sz w:val="20"/>
          <w:lang w:val="en-AU"/>
        </w:rPr>
        <w:t xml:space="preserve">To the extent that any of the costs of and incidental to the appointment of a replacement liquidator to any company in Schedule B has been paid out of the company's own funds, </w:t>
      </w:r>
      <w:r w:rsidRPr="0000696C">
        <w:rPr>
          <w:rFonts w:ascii="Book Antiqua" w:hAnsi="Book Antiqua"/>
          <w:b/>
          <w:bCs/>
          <w:sz w:val="20"/>
          <w:lang w:val="en-AU"/>
        </w:rPr>
        <w:t>Mr Traianedes</w:t>
      </w:r>
      <w:r w:rsidRPr="0000696C">
        <w:rPr>
          <w:rFonts w:ascii="Book Antiqua" w:hAnsi="Book Antiqua"/>
          <w:bCs/>
          <w:sz w:val="20"/>
          <w:lang w:val="en-AU"/>
        </w:rPr>
        <w:t xml:space="preserve"> will reimburse the company for such costs within 28 days of the date of the Board's order requiring the giving of this undertaking, or within 28 days of the cost being paid out of the company's funds, whichever is later.</w:t>
      </w:r>
    </w:p>
    <w:p w14:paraId="18BF1972" w14:textId="77777777" w:rsidR="0000696C" w:rsidRPr="0000696C" w:rsidRDefault="0000696C" w:rsidP="00E43978">
      <w:pPr>
        <w:pStyle w:val="BulletSubpoint"/>
        <w:numPr>
          <w:ilvl w:val="0"/>
          <w:numId w:val="38"/>
        </w:numPr>
        <w:spacing w:before="240" w:after="240"/>
        <w:ind w:left="1134" w:right="56" w:hanging="567"/>
        <w:jc w:val="both"/>
        <w:rPr>
          <w:rFonts w:ascii="Book Antiqua" w:hAnsi="Book Antiqua"/>
          <w:bCs/>
          <w:sz w:val="20"/>
          <w:lang w:val="en-AU"/>
        </w:rPr>
      </w:pPr>
      <w:r w:rsidRPr="0000696C">
        <w:rPr>
          <w:rFonts w:ascii="Book Antiqua" w:hAnsi="Book Antiqua"/>
          <w:b/>
          <w:bCs/>
          <w:sz w:val="20"/>
          <w:lang w:val="en-AU"/>
        </w:rPr>
        <w:t>Mr Traianedes</w:t>
      </w:r>
      <w:r w:rsidRPr="0000696C">
        <w:rPr>
          <w:rFonts w:ascii="Book Antiqua" w:hAnsi="Book Antiqua"/>
          <w:bCs/>
          <w:sz w:val="20"/>
          <w:lang w:val="en-AU"/>
        </w:rPr>
        <w:t xml:space="preserve"> will provide all necessary assistance to the replacement liquidator of each company in Schedule B (including, if relevant, </w:t>
      </w:r>
      <w:r w:rsidRPr="0000696C">
        <w:rPr>
          <w:rFonts w:ascii="Book Antiqua" w:hAnsi="Book Antiqua"/>
          <w:b/>
          <w:bCs/>
          <w:sz w:val="20"/>
          <w:lang w:val="en-AU"/>
        </w:rPr>
        <w:t>Playzone</w:t>
      </w:r>
      <w:r w:rsidRPr="0000696C">
        <w:rPr>
          <w:rFonts w:ascii="Book Antiqua" w:hAnsi="Book Antiqua"/>
          <w:bCs/>
          <w:sz w:val="20"/>
          <w:lang w:val="en-AU"/>
        </w:rPr>
        <w:t>).</w:t>
      </w:r>
    </w:p>
    <w:p w14:paraId="763FE5D4" w14:textId="77777777" w:rsidR="0000696C" w:rsidRPr="0000696C" w:rsidRDefault="0000696C" w:rsidP="00E43978">
      <w:pPr>
        <w:pStyle w:val="BulletSubpoint"/>
        <w:numPr>
          <w:ilvl w:val="0"/>
          <w:numId w:val="38"/>
        </w:numPr>
        <w:spacing w:before="240" w:after="240"/>
        <w:ind w:left="1134" w:right="56" w:hanging="567"/>
        <w:jc w:val="both"/>
        <w:rPr>
          <w:rFonts w:ascii="Book Antiqua" w:hAnsi="Book Antiqua"/>
          <w:bCs/>
          <w:sz w:val="20"/>
          <w:lang w:val="en-AU"/>
        </w:rPr>
      </w:pPr>
      <w:r w:rsidRPr="0000696C">
        <w:rPr>
          <w:rFonts w:ascii="Book Antiqua" w:hAnsi="Book Antiqua"/>
          <w:bCs/>
          <w:sz w:val="20"/>
          <w:lang w:val="en-AU"/>
        </w:rPr>
        <w:t xml:space="preserve">That in the event of any default of 1(a) above, he indemnifies </w:t>
      </w:r>
      <w:r w:rsidRPr="0000696C">
        <w:rPr>
          <w:rFonts w:ascii="Book Antiqua" w:hAnsi="Book Antiqua"/>
          <w:b/>
          <w:bCs/>
          <w:sz w:val="20"/>
          <w:lang w:val="en-AU"/>
        </w:rPr>
        <w:t>ASIC</w:t>
      </w:r>
      <w:r w:rsidRPr="0000696C">
        <w:rPr>
          <w:rFonts w:ascii="Book Antiqua" w:hAnsi="Book Antiqua"/>
          <w:bCs/>
          <w:sz w:val="20"/>
          <w:lang w:val="en-AU"/>
        </w:rPr>
        <w:t xml:space="preserve"> for the cost of any Court application required for the rectification of that default, including but not limited to any application for the appointment of replacement liquidators;</w:t>
      </w:r>
    </w:p>
    <w:p w14:paraId="0C60F7CB" w14:textId="77777777" w:rsidR="0000696C" w:rsidRPr="0000696C" w:rsidRDefault="0000696C" w:rsidP="00B04A7B">
      <w:pPr>
        <w:spacing w:before="240"/>
        <w:ind w:right="56"/>
        <w:jc w:val="both"/>
        <w:rPr>
          <w:b/>
          <w:sz w:val="20"/>
          <w:szCs w:val="20"/>
        </w:rPr>
      </w:pPr>
      <w:r w:rsidRPr="0000696C">
        <w:rPr>
          <w:b/>
          <w:sz w:val="20"/>
          <w:szCs w:val="20"/>
        </w:rPr>
        <w:t>Undertaking as to Further Education</w:t>
      </w:r>
    </w:p>
    <w:p w14:paraId="7F0EF14C" w14:textId="77777777" w:rsidR="0000696C" w:rsidRPr="0000696C" w:rsidRDefault="0000696C" w:rsidP="00E43978">
      <w:pPr>
        <w:pStyle w:val="ListParagraph"/>
        <w:numPr>
          <w:ilvl w:val="0"/>
          <w:numId w:val="39"/>
        </w:numPr>
        <w:spacing w:before="240" w:line="240" w:lineRule="auto"/>
        <w:ind w:left="567" w:right="56" w:hanging="567"/>
        <w:contextualSpacing w:val="0"/>
        <w:jc w:val="both"/>
        <w:rPr>
          <w:sz w:val="20"/>
          <w:szCs w:val="20"/>
        </w:rPr>
      </w:pPr>
      <w:r w:rsidRPr="0000696C">
        <w:rPr>
          <w:b/>
          <w:iCs/>
          <w:sz w:val="20"/>
          <w:szCs w:val="20"/>
        </w:rPr>
        <w:t>Mr Traianedes</w:t>
      </w:r>
      <w:r w:rsidRPr="0000696C">
        <w:rPr>
          <w:iCs/>
          <w:sz w:val="20"/>
          <w:szCs w:val="20"/>
        </w:rPr>
        <w:t xml:space="preserve"> gives the following undertaking in writing to </w:t>
      </w:r>
      <w:r w:rsidRPr="0000696C">
        <w:rPr>
          <w:b/>
          <w:iCs/>
          <w:sz w:val="20"/>
          <w:szCs w:val="20"/>
        </w:rPr>
        <w:t>the Board</w:t>
      </w:r>
      <w:r w:rsidRPr="0000696C">
        <w:rPr>
          <w:iCs/>
          <w:sz w:val="20"/>
          <w:szCs w:val="20"/>
        </w:rPr>
        <w:t xml:space="preserve"> and to </w:t>
      </w:r>
      <w:r w:rsidRPr="0000696C">
        <w:rPr>
          <w:b/>
          <w:iCs/>
          <w:sz w:val="20"/>
          <w:szCs w:val="20"/>
        </w:rPr>
        <w:t>ASIC</w:t>
      </w:r>
      <w:r w:rsidRPr="0000696C">
        <w:rPr>
          <w:iCs/>
          <w:sz w:val="20"/>
          <w:szCs w:val="20"/>
        </w:rPr>
        <w:t xml:space="preserve"> within seven (7) days after this order takes effect:</w:t>
      </w:r>
    </w:p>
    <w:p w14:paraId="7B4BE68B" w14:textId="77777777" w:rsidR="0000696C" w:rsidRPr="0000696C" w:rsidRDefault="0000696C" w:rsidP="00E43978">
      <w:pPr>
        <w:pStyle w:val="ListParagraph"/>
        <w:numPr>
          <w:ilvl w:val="0"/>
          <w:numId w:val="40"/>
        </w:numPr>
        <w:spacing w:before="240" w:line="240" w:lineRule="auto"/>
        <w:ind w:left="1134" w:right="56" w:hanging="567"/>
        <w:contextualSpacing w:val="0"/>
        <w:jc w:val="both"/>
        <w:rPr>
          <w:sz w:val="20"/>
          <w:szCs w:val="20"/>
        </w:rPr>
      </w:pPr>
      <w:r w:rsidRPr="0000696C">
        <w:rPr>
          <w:b/>
          <w:iCs/>
          <w:sz w:val="20"/>
          <w:szCs w:val="20"/>
        </w:rPr>
        <w:lastRenderedPageBreak/>
        <w:t>Mr Traianedes</w:t>
      </w:r>
      <w:r w:rsidRPr="0000696C">
        <w:rPr>
          <w:iCs/>
          <w:sz w:val="20"/>
          <w:szCs w:val="20"/>
        </w:rPr>
        <w:t xml:space="preserve"> will use reasonable endeavours to retain his membership of </w:t>
      </w:r>
      <w:r w:rsidRPr="0000696C">
        <w:rPr>
          <w:b/>
          <w:iCs/>
          <w:sz w:val="20"/>
          <w:szCs w:val="20"/>
        </w:rPr>
        <w:t>CPA</w:t>
      </w:r>
      <w:r w:rsidRPr="0000696C">
        <w:rPr>
          <w:iCs/>
          <w:sz w:val="20"/>
          <w:szCs w:val="20"/>
        </w:rPr>
        <w:t xml:space="preserve"> and </w:t>
      </w:r>
      <w:r w:rsidRPr="0000696C">
        <w:rPr>
          <w:b/>
          <w:iCs/>
          <w:sz w:val="20"/>
          <w:szCs w:val="20"/>
        </w:rPr>
        <w:t>ARITA</w:t>
      </w:r>
      <w:r w:rsidRPr="0000696C">
        <w:rPr>
          <w:iCs/>
          <w:sz w:val="20"/>
          <w:szCs w:val="20"/>
        </w:rPr>
        <w:t xml:space="preserve"> for a period of not less than 4 years from the date that his suspension to practice as a registered liquidator ends.</w:t>
      </w:r>
    </w:p>
    <w:p w14:paraId="29D85F1B" w14:textId="77777777" w:rsidR="0000696C" w:rsidRPr="0000696C" w:rsidRDefault="0000696C" w:rsidP="00E43978">
      <w:pPr>
        <w:pStyle w:val="ListParagraph"/>
        <w:numPr>
          <w:ilvl w:val="0"/>
          <w:numId w:val="40"/>
        </w:numPr>
        <w:spacing w:before="240" w:line="240" w:lineRule="auto"/>
        <w:ind w:left="1134" w:right="56" w:hanging="567"/>
        <w:contextualSpacing w:val="0"/>
        <w:jc w:val="both"/>
        <w:rPr>
          <w:iCs/>
          <w:sz w:val="20"/>
          <w:szCs w:val="20"/>
        </w:rPr>
      </w:pPr>
      <w:r w:rsidRPr="0000696C">
        <w:rPr>
          <w:iCs/>
          <w:sz w:val="20"/>
          <w:szCs w:val="20"/>
        </w:rPr>
        <w:t>To complete the following Continuing Professional Development ("</w:t>
      </w:r>
      <w:r w:rsidRPr="0000696C">
        <w:rPr>
          <w:b/>
          <w:bCs/>
          <w:iCs/>
          <w:sz w:val="20"/>
          <w:szCs w:val="20"/>
        </w:rPr>
        <w:t>CPD"</w:t>
      </w:r>
      <w:r w:rsidRPr="0000696C">
        <w:rPr>
          <w:iCs/>
          <w:sz w:val="20"/>
          <w:szCs w:val="20"/>
        </w:rPr>
        <w:t>) activities during the period of his suspension:</w:t>
      </w:r>
    </w:p>
    <w:p w14:paraId="6CC544FB" w14:textId="77777777" w:rsidR="0000696C" w:rsidRPr="0000696C" w:rsidRDefault="0000696C" w:rsidP="00E43978">
      <w:pPr>
        <w:pStyle w:val="ListParagraph"/>
        <w:numPr>
          <w:ilvl w:val="0"/>
          <w:numId w:val="41"/>
        </w:numPr>
        <w:spacing w:before="240" w:line="240" w:lineRule="auto"/>
        <w:ind w:left="1701" w:right="56" w:hanging="567"/>
        <w:contextualSpacing w:val="0"/>
        <w:jc w:val="both"/>
        <w:rPr>
          <w:iCs/>
          <w:sz w:val="20"/>
          <w:szCs w:val="20"/>
        </w:rPr>
      </w:pPr>
      <w:r w:rsidRPr="0000696C">
        <w:rPr>
          <w:iCs/>
          <w:sz w:val="20"/>
          <w:szCs w:val="20"/>
        </w:rPr>
        <w:t xml:space="preserve">all </w:t>
      </w:r>
      <w:r w:rsidRPr="0000696C">
        <w:rPr>
          <w:b/>
          <w:iCs/>
          <w:sz w:val="20"/>
          <w:szCs w:val="20"/>
        </w:rPr>
        <w:t>CPD</w:t>
      </w:r>
      <w:r w:rsidRPr="0000696C">
        <w:rPr>
          <w:iCs/>
          <w:sz w:val="20"/>
          <w:szCs w:val="20"/>
        </w:rPr>
        <w:t xml:space="preserve"> requirements imposed on members of </w:t>
      </w:r>
      <w:r w:rsidRPr="0000696C">
        <w:rPr>
          <w:b/>
          <w:iCs/>
          <w:sz w:val="20"/>
          <w:szCs w:val="20"/>
        </w:rPr>
        <w:t>ARITA</w:t>
      </w:r>
      <w:r w:rsidRPr="0000696C">
        <w:rPr>
          <w:iCs/>
          <w:sz w:val="20"/>
          <w:szCs w:val="20"/>
        </w:rPr>
        <w:t xml:space="preserve"> for the period from 1 January 2017 to 31 December 2019 ("</w:t>
      </w:r>
      <w:r w:rsidRPr="0000696C">
        <w:rPr>
          <w:b/>
          <w:iCs/>
          <w:sz w:val="20"/>
          <w:szCs w:val="20"/>
        </w:rPr>
        <w:t>the CPD Period"</w:t>
      </w:r>
      <w:r w:rsidRPr="0000696C">
        <w:rPr>
          <w:iCs/>
          <w:sz w:val="20"/>
          <w:szCs w:val="20"/>
        </w:rPr>
        <w:t>);</w:t>
      </w:r>
    </w:p>
    <w:p w14:paraId="66F43789" w14:textId="77777777" w:rsidR="0000696C" w:rsidRPr="0000696C" w:rsidRDefault="0000696C" w:rsidP="00E43978">
      <w:pPr>
        <w:pStyle w:val="ListParagraph"/>
        <w:numPr>
          <w:ilvl w:val="0"/>
          <w:numId w:val="41"/>
        </w:numPr>
        <w:spacing w:before="240" w:line="240" w:lineRule="auto"/>
        <w:ind w:left="1701" w:right="56" w:hanging="567"/>
        <w:contextualSpacing w:val="0"/>
        <w:jc w:val="both"/>
        <w:rPr>
          <w:iCs/>
          <w:sz w:val="20"/>
          <w:szCs w:val="20"/>
        </w:rPr>
      </w:pPr>
      <w:r w:rsidRPr="0000696C">
        <w:rPr>
          <w:iCs/>
          <w:sz w:val="20"/>
          <w:szCs w:val="20"/>
        </w:rPr>
        <w:t xml:space="preserve">in addition to the minimum annual requirement for </w:t>
      </w:r>
      <w:r w:rsidRPr="0000696C">
        <w:rPr>
          <w:b/>
          <w:iCs/>
          <w:sz w:val="20"/>
          <w:szCs w:val="20"/>
        </w:rPr>
        <w:t>CPD</w:t>
      </w:r>
      <w:r w:rsidRPr="0000696C">
        <w:rPr>
          <w:iCs/>
          <w:sz w:val="20"/>
          <w:szCs w:val="20"/>
        </w:rPr>
        <w:t xml:space="preserve"> to which members of </w:t>
      </w:r>
      <w:r w:rsidRPr="0000696C">
        <w:rPr>
          <w:b/>
          <w:iCs/>
          <w:sz w:val="20"/>
          <w:szCs w:val="20"/>
        </w:rPr>
        <w:t>ARITA</w:t>
      </w:r>
      <w:r w:rsidRPr="0000696C">
        <w:rPr>
          <w:iCs/>
          <w:sz w:val="20"/>
          <w:szCs w:val="20"/>
        </w:rPr>
        <w:t xml:space="preserve"> are subject, he will at his own expense undertake during each year of the </w:t>
      </w:r>
      <w:r w:rsidRPr="0000696C">
        <w:rPr>
          <w:b/>
          <w:iCs/>
          <w:sz w:val="20"/>
          <w:szCs w:val="20"/>
        </w:rPr>
        <w:t>CPD</w:t>
      </w:r>
      <w:r w:rsidRPr="0000696C">
        <w:rPr>
          <w:iCs/>
          <w:sz w:val="20"/>
          <w:szCs w:val="20"/>
        </w:rPr>
        <w:t xml:space="preserve"> Period at least a further 10 hours of </w:t>
      </w:r>
      <w:r w:rsidRPr="0000696C">
        <w:rPr>
          <w:b/>
          <w:iCs/>
          <w:sz w:val="20"/>
          <w:szCs w:val="20"/>
        </w:rPr>
        <w:t>CPD</w:t>
      </w:r>
      <w:r w:rsidRPr="0000696C">
        <w:rPr>
          <w:iCs/>
          <w:sz w:val="20"/>
          <w:szCs w:val="20"/>
        </w:rPr>
        <w:t xml:space="preserve"> relating to insolvency practice and practice management;</w:t>
      </w:r>
    </w:p>
    <w:p w14:paraId="42036167" w14:textId="77777777" w:rsidR="0000696C" w:rsidRPr="0000696C" w:rsidRDefault="0000696C" w:rsidP="00E43978">
      <w:pPr>
        <w:pStyle w:val="ListParagraph"/>
        <w:numPr>
          <w:ilvl w:val="0"/>
          <w:numId w:val="41"/>
        </w:numPr>
        <w:spacing w:before="240" w:line="240" w:lineRule="auto"/>
        <w:ind w:left="1701" w:right="56" w:hanging="567"/>
        <w:contextualSpacing w:val="0"/>
        <w:jc w:val="both"/>
        <w:rPr>
          <w:iCs/>
          <w:sz w:val="20"/>
          <w:szCs w:val="20"/>
        </w:rPr>
      </w:pPr>
      <w:r w:rsidRPr="0000696C">
        <w:rPr>
          <w:iCs/>
          <w:sz w:val="20"/>
          <w:szCs w:val="20"/>
        </w:rPr>
        <w:t xml:space="preserve">over the </w:t>
      </w:r>
      <w:r w:rsidRPr="0000696C">
        <w:rPr>
          <w:b/>
          <w:iCs/>
          <w:sz w:val="20"/>
          <w:szCs w:val="20"/>
        </w:rPr>
        <w:t>CPD</w:t>
      </w:r>
      <w:r w:rsidRPr="0000696C">
        <w:rPr>
          <w:iCs/>
          <w:sz w:val="20"/>
          <w:szCs w:val="20"/>
        </w:rPr>
        <w:t xml:space="preserve"> Period, the </w:t>
      </w:r>
      <w:r w:rsidRPr="0000696C">
        <w:rPr>
          <w:b/>
          <w:iCs/>
          <w:sz w:val="20"/>
          <w:szCs w:val="20"/>
        </w:rPr>
        <w:t>CPD</w:t>
      </w:r>
      <w:r w:rsidRPr="0000696C">
        <w:rPr>
          <w:iCs/>
          <w:sz w:val="20"/>
          <w:szCs w:val="20"/>
        </w:rPr>
        <w:t xml:space="preserve"> that he undertakes will include at least 3 hours of training or courses relating to each of (1) independence, (2) remuneration, (3) investigations/reporting and (4)  record-keeping (or, if relevant training or courses are not available in any area, such other training or courses as are approved by </w:t>
      </w:r>
      <w:r w:rsidRPr="0000696C">
        <w:rPr>
          <w:b/>
          <w:iCs/>
          <w:sz w:val="20"/>
          <w:szCs w:val="20"/>
        </w:rPr>
        <w:t>ASIC</w:t>
      </w:r>
      <w:r w:rsidRPr="0000696C">
        <w:rPr>
          <w:iCs/>
          <w:sz w:val="20"/>
          <w:szCs w:val="20"/>
        </w:rPr>
        <w:t>);</w:t>
      </w:r>
    </w:p>
    <w:p w14:paraId="16BC9612" w14:textId="77777777" w:rsidR="0000696C" w:rsidRPr="0000696C" w:rsidRDefault="0000696C" w:rsidP="00E43978">
      <w:pPr>
        <w:pStyle w:val="ListParagraph"/>
        <w:numPr>
          <w:ilvl w:val="0"/>
          <w:numId w:val="48"/>
        </w:numPr>
        <w:spacing w:before="240" w:line="240" w:lineRule="auto"/>
        <w:ind w:left="1134" w:right="56" w:hanging="567"/>
        <w:contextualSpacing w:val="0"/>
        <w:jc w:val="both"/>
        <w:rPr>
          <w:sz w:val="20"/>
          <w:szCs w:val="20"/>
        </w:rPr>
      </w:pPr>
      <w:r w:rsidRPr="0000696C">
        <w:rPr>
          <w:iCs/>
          <w:sz w:val="20"/>
          <w:szCs w:val="20"/>
        </w:rPr>
        <w:t xml:space="preserve">To provide </w:t>
      </w:r>
      <w:r w:rsidRPr="0000696C">
        <w:rPr>
          <w:b/>
          <w:iCs/>
          <w:sz w:val="20"/>
          <w:szCs w:val="20"/>
        </w:rPr>
        <w:t>ASIC</w:t>
      </w:r>
      <w:r w:rsidRPr="0000696C">
        <w:rPr>
          <w:iCs/>
          <w:sz w:val="20"/>
          <w:szCs w:val="20"/>
        </w:rPr>
        <w:t xml:space="preserve">, as soon as practicable following each of: </w:t>
      </w:r>
    </w:p>
    <w:p w14:paraId="5BD5E85C" w14:textId="77777777" w:rsidR="0000696C" w:rsidRPr="0000696C" w:rsidRDefault="0000696C" w:rsidP="00E43978">
      <w:pPr>
        <w:pStyle w:val="ListParagraph"/>
        <w:numPr>
          <w:ilvl w:val="0"/>
          <w:numId w:val="42"/>
        </w:numPr>
        <w:spacing w:before="240" w:line="240" w:lineRule="auto"/>
        <w:ind w:left="1701" w:right="56" w:hanging="567"/>
        <w:contextualSpacing w:val="0"/>
        <w:jc w:val="both"/>
        <w:rPr>
          <w:sz w:val="20"/>
          <w:szCs w:val="20"/>
        </w:rPr>
      </w:pPr>
      <w:r w:rsidRPr="0000696C">
        <w:rPr>
          <w:iCs/>
          <w:sz w:val="20"/>
          <w:szCs w:val="20"/>
        </w:rPr>
        <w:t>31 December 2017;</w:t>
      </w:r>
    </w:p>
    <w:p w14:paraId="383FF7A0" w14:textId="77777777" w:rsidR="0000696C" w:rsidRPr="0000696C" w:rsidRDefault="0000696C" w:rsidP="00E43978">
      <w:pPr>
        <w:pStyle w:val="ListParagraph"/>
        <w:numPr>
          <w:ilvl w:val="0"/>
          <w:numId w:val="42"/>
        </w:numPr>
        <w:spacing w:before="240" w:line="240" w:lineRule="auto"/>
        <w:ind w:left="1701" w:right="56" w:hanging="567"/>
        <w:contextualSpacing w:val="0"/>
        <w:jc w:val="both"/>
        <w:rPr>
          <w:sz w:val="20"/>
          <w:szCs w:val="20"/>
        </w:rPr>
      </w:pPr>
      <w:r w:rsidRPr="0000696C">
        <w:rPr>
          <w:iCs/>
          <w:sz w:val="20"/>
          <w:szCs w:val="20"/>
        </w:rPr>
        <w:t xml:space="preserve"> 31 December 2018; and </w:t>
      </w:r>
    </w:p>
    <w:p w14:paraId="090B85AD" w14:textId="77777777" w:rsidR="0000696C" w:rsidRPr="0000696C" w:rsidRDefault="0000696C" w:rsidP="00E43978">
      <w:pPr>
        <w:pStyle w:val="ListParagraph"/>
        <w:numPr>
          <w:ilvl w:val="0"/>
          <w:numId w:val="42"/>
        </w:numPr>
        <w:spacing w:before="240" w:line="240" w:lineRule="auto"/>
        <w:ind w:left="1701" w:right="56" w:hanging="567"/>
        <w:contextualSpacing w:val="0"/>
        <w:jc w:val="both"/>
        <w:rPr>
          <w:sz w:val="20"/>
          <w:szCs w:val="20"/>
        </w:rPr>
      </w:pPr>
      <w:r w:rsidRPr="0000696C">
        <w:rPr>
          <w:iCs/>
          <w:sz w:val="20"/>
          <w:szCs w:val="20"/>
        </w:rPr>
        <w:t xml:space="preserve">the date by which he has completed his </w:t>
      </w:r>
      <w:r w:rsidRPr="0000696C">
        <w:rPr>
          <w:b/>
          <w:iCs/>
          <w:sz w:val="20"/>
          <w:szCs w:val="20"/>
        </w:rPr>
        <w:t>CPD</w:t>
      </w:r>
      <w:r w:rsidRPr="0000696C">
        <w:rPr>
          <w:iCs/>
          <w:sz w:val="20"/>
          <w:szCs w:val="20"/>
        </w:rPr>
        <w:t xml:space="preserve"> requirements for the period from 1 January 2019 to 31 December 2019</w:t>
      </w:r>
    </w:p>
    <w:p w14:paraId="1A13FB71" w14:textId="77777777" w:rsidR="0000696C" w:rsidRPr="0000696C" w:rsidRDefault="0000696C" w:rsidP="00B04A7B">
      <w:pPr>
        <w:spacing w:before="240"/>
        <w:ind w:left="1134" w:right="56"/>
        <w:jc w:val="both"/>
        <w:rPr>
          <w:iCs/>
          <w:sz w:val="20"/>
          <w:szCs w:val="20"/>
        </w:rPr>
      </w:pPr>
      <w:r w:rsidRPr="0000696C">
        <w:rPr>
          <w:iCs/>
          <w:sz w:val="20"/>
          <w:szCs w:val="20"/>
        </w:rPr>
        <w:t xml:space="preserve">with documents that evidence his completion of </w:t>
      </w:r>
      <w:r w:rsidRPr="0000696C">
        <w:rPr>
          <w:b/>
          <w:iCs/>
          <w:sz w:val="20"/>
          <w:szCs w:val="20"/>
        </w:rPr>
        <w:t>CPD</w:t>
      </w:r>
      <w:r w:rsidRPr="0000696C">
        <w:rPr>
          <w:iCs/>
          <w:sz w:val="20"/>
          <w:szCs w:val="20"/>
        </w:rPr>
        <w:t xml:space="preserve"> for the relevant period.</w:t>
      </w:r>
    </w:p>
    <w:p w14:paraId="0BA1DD5E" w14:textId="77777777" w:rsidR="0000696C" w:rsidRPr="0000696C" w:rsidRDefault="0000696C" w:rsidP="00B04A7B">
      <w:pPr>
        <w:pStyle w:val="ListParagraph"/>
        <w:spacing w:before="240"/>
        <w:ind w:left="567" w:right="56"/>
        <w:contextualSpacing w:val="0"/>
        <w:jc w:val="both"/>
        <w:rPr>
          <w:sz w:val="20"/>
          <w:szCs w:val="20"/>
        </w:rPr>
      </w:pPr>
      <w:r w:rsidRPr="0000696C">
        <w:rPr>
          <w:iCs/>
          <w:sz w:val="20"/>
          <w:szCs w:val="20"/>
        </w:rPr>
        <w:t xml:space="preserve">Until </w:t>
      </w:r>
      <w:r w:rsidRPr="0000696C">
        <w:rPr>
          <w:b/>
          <w:iCs/>
          <w:sz w:val="20"/>
          <w:szCs w:val="20"/>
        </w:rPr>
        <w:t>Mr Traianedes</w:t>
      </w:r>
      <w:r w:rsidRPr="0000696C">
        <w:rPr>
          <w:iCs/>
          <w:sz w:val="20"/>
          <w:szCs w:val="20"/>
        </w:rPr>
        <w:t xml:space="preserve"> has complied fully with these undertakings, he will not accept any new appointment to any office required under the </w:t>
      </w:r>
      <w:r w:rsidRPr="0000696C">
        <w:rPr>
          <w:b/>
          <w:iCs/>
          <w:sz w:val="20"/>
          <w:szCs w:val="20"/>
        </w:rPr>
        <w:t xml:space="preserve">Act </w:t>
      </w:r>
      <w:r w:rsidRPr="0000696C">
        <w:rPr>
          <w:iCs/>
          <w:sz w:val="20"/>
          <w:szCs w:val="20"/>
        </w:rPr>
        <w:t xml:space="preserve">to be filled by a registered liquidator.  </w:t>
      </w:r>
    </w:p>
    <w:p w14:paraId="5BB62548" w14:textId="77777777" w:rsidR="0000696C" w:rsidRPr="0000696C" w:rsidRDefault="0000696C" w:rsidP="00B04A7B">
      <w:pPr>
        <w:spacing w:before="240"/>
        <w:ind w:right="56"/>
        <w:jc w:val="both"/>
        <w:rPr>
          <w:iCs/>
          <w:sz w:val="20"/>
          <w:szCs w:val="20"/>
        </w:rPr>
      </w:pPr>
      <w:r w:rsidRPr="0000696C">
        <w:rPr>
          <w:b/>
          <w:bCs/>
          <w:iCs/>
          <w:sz w:val="20"/>
          <w:szCs w:val="20"/>
        </w:rPr>
        <w:t>Undertaking as to Joint Appointments or Reviews of Appointments Post Suspension</w:t>
      </w:r>
    </w:p>
    <w:p w14:paraId="75C11597" w14:textId="77777777" w:rsidR="0000696C" w:rsidRPr="0000696C" w:rsidRDefault="0000696C" w:rsidP="00E43978">
      <w:pPr>
        <w:pStyle w:val="ListParagraph"/>
        <w:numPr>
          <w:ilvl w:val="0"/>
          <w:numId w:val="39"/>
        </w:numPr>
        <w:spacing w:before="240" w:line="240" w:lineRule="auto"/>
        <w:ind w:left="567" w:right="56" w:hanging="567"/>
        <w:contextualSpacing w:val="0"/>
        <w:jc w:val="both"/>
        <w:rPr>
          <w:iCs/>
          <w:sz w:val="20"/>
          <w:szCs w:val="20"/>
        </w:rPr>
      </w:pPr>
      <w:r w:rsidRPr="0000696C">
        <w:rPr>
          <w:b/>
          <w:iCs/>
          <w:sz w:val="20"/>
          <w:szCs w:val="20"/>
        </w:rPr>
        <w:t>Mr Traianedes</w:t>
      </w:r>
      <w:r w:rsidRPr="0000696C">
        <w:rPr>
          <w:iCs/>
          <w:sz w:val="20"/>
          <w:szCs w:val="20"/>
        </w:rPr>
        <w:t xml:space="preserve"> gives the following undertaking in writing to </w:t>
      </w:r>
      <w:r w:rsidRPr="0000696C">
        <w:rPr>
          <w:b/>
          <w:iCs/>
          <w:sz w:val="20"/>
          <w:szCs w:val="20"/>
        </w:rPr>
        <w:t>the Board</w:t>
      </w:r>
      <w:r w:rsidRPr="0000696C">
        <w:rPr>
          <w:iCs/>
          <w:sz w:val="20"/>
          <w:szCs w:val="20"/>
        </w:rPr>
        <w:t xml:space="preserve"> and </w:t>
      </w:r>
      <w:r w:rsidRPr="0000696C">
        <w:rPr>
          <w:b/>
          <w:iCs/>
          <w:sz w:val="20"/>
          <w:szCs w:val="20"/>
        </w:rPr>
        <w:t>ASIC</w:t>
      </w:r>
      <w:r w:rsidRPr="0000696C">
        <w:rPr>
          <w:iCs/>
          <w:sz w:val="20"/>
          <w:szCs w:val="20"/>
        </w:rPr>
        <w:t xml:space="preserve"> within seven (7) days after this order takes effect:</w:t>
      </w:r>
    </w:p>
    <w:p w14:paraId="0B664B47" w14:textId="77777777" w:rsidR="0000696C" w:rsidRPr="0000696C" w:rsidRDefault="0000696C" w:rsidP="00E43978">
      <w:pPr>
        <w:pStyle w:val="ListParagraph"/>
        <w:numPr>
          <w:ilvl w:val="0"/>
          <w:numId w:val="43"/>
        </w:numPr>
        <w:spacing w:before="240" w:line="240" w:lineRule="auto"/>
        <w:ind w:left="1134" w:right="56" w:hanging="567"/>
        <w:contextualSpacing w:val="0"/>
        <w:jc w:val="both"/>
        <w:rPr>
          <w:sz w:val="20"/>
          <w:szCs w:val="20"/>
        </w:rPr>
      </w:pPr>
      <w:r w:rsidRPr="0000696C">
        <w:rPr>
          <w:iCs/>
          <w:sz w:val="20"/>
          <w:szCs w:val="20"/>
        </w:rPr>
        <w:lastRenderedPageBreak/>
        <w:t xml:space="preserve">That, following expiry of the suspension period, </w:t>
      </w:r>
      <w:r w:rsidRPr="0000696C">
        <w:rPr>
          <w:b/>
          <w:iCs/>
          <w:sz w:val="20"/>
          <w:szCs w:val="20"/>
        </w:rPr>
        <w:t>Mr Traianedes</w:t>
      </w:r>
      <w:r w:rsidRPr="0000696C">
        <w:rPr>
          <w:iCs/>
          <w:sz w:val="20"/>
          <w:szCs w:val="20"/>
        </w:rPr>
        <w:t xml:space="preserve"> will for the first ten appointments that he accepts to any office required under </w:t>
      </w:r>
      <w:r w:rsidRPr="0000696C">
        <w:rPr>
          <w:b/>
          <w:iCs/>
          <w:sz w:val="20"/>
          <w:szCs w:val="20"/>
        </w:rPr>
        <w:t>the Act</w:t>
      </w:r>
      <w:r w:rsidRPr="0000696C">
        <w:rPr>
          <w:iCs/>
          <w:sz w:val="20"/>
          <w:szCs w:val="20"/>
        </w:rPr>
        <w:t xml:space="preserve"> to be filled by a registered liquidator, use his best endeavours to undertake such appointment jointly and severally with a registered liquidator or registered liquidators approved by </w:t>
      </w:r>
      <w:r w:rsidRPr="0000696C">
        <w:rPr>
          <w:b/>
          <w:iCs/>
          <w:sz w:val="20"/>
          <w:szCs w:val="20"/>
        </w:rPr>
        <w:t>ASIC</w:t>
      </w:r>
      <w:r w:rsidRPr="0000696C">
        <w:rPr>
          <w:iCs/>
          <w:sz w:val="20"/>
          <w:szCs w:val="20"/>
        </w:rPr>
        <w:t xml:space="preserve">.  </w:t>
      </w:r>
    </w:p>
    <w:p w14:paraId="6E629B5C" w14:textId="77777777" w:rsidR="0000696C" w:rsidRPr="0000696C" w:rsidRDefault="0000696C" w:rsidP="00E43978">
      <w:pPr>
        <w:pStyle w:val="ListParagraph"/>
        <w:numPr>
          <w:ilvl w:val="0"/>
          <w:numId w:val="43"/>
        </w:numPr>
        <w:spacing w:before="240" w:line="240" w:lineRule="auto"/>
        <w:ind w:left="1134" w:right="56" w:hanging="567"/>
        <w:contextualSpacing w:val="0"/>
        <w:jc w:val="both"/>
        <w:rPr>
          <w:sz w:val="20"/>
          <w:szCs w:val="20"/>
        </w:rPr>
      </w:pPr>
      <w:r w:rsidRPr="0000696C">
        <w:rPr>
          <w:sz w:val="20"/>
          <w:szCs w:val="20"/>
        </w:rPr>
        <w:t xml:space="preserve">If </w:t>
      </w:r>
      <w:r w:rsidRPr="0000696C">
        <w:rPr>
          <w:b/>
          <w:sz w:val="20"/>
          <w:szCs w:val="20"/>
        </w:rPr>
        <w:t>Mr Traianedes</w:t>
      </w:r>
      <w:r w:rsidRPr="0000696C">
        <w:rPr>
          <w:sz w:val="20"/>
          <w:szCs w:val="20"/>
        </w:rPr>
        <w:t xml:space="preserve"> is unable to procure a joint and several appointee for any of his first ten appointments in respect of an appointment falling within sub-paragraph (a), he will:</w:t>
      </w:r>
    </w:p>
    <w:p w14:paraId="57EF1DF1" w14:textId="77777777" w:rsidR="0000696C" w:rsidRPr="0000696C" w:rsidRDefault="0000696C" w:rsidP="00E43978">
      <w:pPr>
        <w:pStyle w:val="ListParagraph"/>
        <w:numPr>
          <w:ilvl w:val="0"/>
          <w:numId w:val="44"/>
        </w:numPr>
        <w:spacing w:before="240" w:line="240" w:lineRule="auto"/>
        <w:ind w:left="1701" w:right="56" w:hanging="567"/>
        <w:contextualSpacing w:val="0"/>
        <w:jc w:val="both"/>
        <w:rPr>
          <w:iCs/>
          <w:sz w:val="20"/>
          <w:szCs w:val="20"/>
        </w:rPr>
      </w:pPr>
      <w:r w:rsidRPr="0000696C">
        <w:rPr>
          <w:iCs/>
          <w:sz w:val="20"/>
          <w:szCs w:val="20"/>
        </w:rPr>
        <w:t xml:space="preserve">within 7 days of the appointment, notify </w:t>
      </w:r>
      <w:r w:rsidRPr="0000696C">
        <w:rPr>
          <w:b/>
          <w:iCs/>
          <w:sz w:val="20"/>
          <w:szCs w:val="20"/>
        </w:rPr>
        <w:t>ASIC</w:t>
      </w:r>
      <w:r w:rsidRPr="0000696C">
        <w:rPr>
          <w:iCs/>
          <w:sz w:val="20"/>
          <w:szCs w:val="20"/>
        </w:rPr>
        <w:t xml:space="preserve">, that he has accepted an appointment other than as a joint and several appointment and provide a written explanation to </w:t>
      </w:r>
      <w:r w:rsidRPr="0000696C">
        <w:rPr>
          <w:b/>
          <w:iCs/>
          <w:sz w:val="20"/>
          <w:szCs w:val="20"/>
        </w:rPr>
        <w:t>ASIC</w:t>
      </w:r>
      <w:r w:rsidRPr="0000696C">
        <w:rPr>
          <w:iCs/>
          <w:sz w:val="20"/>
          <w:szCs w:val="20"/>
        </w:rPr>
        <w:t xml:space="preserve"> of the steps that he took to procure a joint and several appointment;</w:t>
      </w:r>
    </w:p>
    <w:p w14:paraId="0B5C9AC5" w14:textId="77777777" w:rsidR="0000696C" w:rsidRPr="0000696C" w:rsidRDefault="0000696C" w:rsidP="00E43978">
      <w:pPr>
        <w:pStyle w:val="ListParagraph"/>
        <w:numPr>
          <w:ilvl w:val="0"/>
          <w:numId w:val="44"/>
        </w:numPr>
        <w:spacing w:before="240" w:line="240" w:lineRule="auto"/>
        <w:ind w:left="1701" w:right="56" w:hanging="567"/>
        <w:contextualSpacing w:val="0"/>
        <w:jc w:val="both"/>
        <w:rPr>
          <w:iCs/>
          <w:sz w:val="20"/>
          <w:szCs w:val="20"/>
        </w:rPr>
      </w:pPr>
      <w:r w:rsidRPr="0000696C">
        <w:rPr>
          <w:iCs/>
          <w:sz w:val="20"/>
          <w:szCs w:val="20"/>
        </w:rPr>
        <w:t>in relation to any such appointment, he will:</w:t>
      </w:r>
    </w:p>
    <w:p w14:paraId="7AAA2079" w14:textId="77777777" w:rsidR="0000696C" w:rsidRPr="0000696C" w:rsidRDefault="0000696C" w:rsidP="00E43978">
      <w:pPr>
        <w:pStyle w:val="ListParagraph"/>
        <w:numPr>
          <w:ilvl w:val="0"/>
          <w:numId w:val="45"/>
        </w:numPr>
        <w:spacing w:before="240" w:line="240" w:lineRule="auto"/>
        <w:ind w:left="2268" w:right="56" w:hanging="567"/>
        <w:contextualSpacing w:val="0"/>
        <w:jc w:val="both"/>
        <w:rPr>
          <w:iCs/>
          <w:sz w:val="20"/>
          <w:szCs w:val="20"/>
        </w:rPr>
      </w:pPr>
      <w:r w:rsidRPr="0000696C">
        <w:rPr>
          <w:iCs/>
          <w:sz w:val="20"/>
          <w:szCs w:val="20"/>
        </w:rPr>
        <w:t xml:space="preserve">procure (at his own expense) an independent registered liquidator (approved in advance by </w:t>
      </w:r>
      <w:r w:rsidRPr="0000696C">
        <w:rPr>
          <w:b/>
          <w:iCs/>
          <w:sz w:val="20"/>
          <w:szCs w:val="20"/>
        </w:rPr>
        <w:t>ASIC</w:t>
      </w:r>
      <w:r w:rsidRPr="0000696C">
        <w:rPr>
          <w:iCs/>
          <w:sz w:val="20"/>
          <w:szCs w:val="20"/>
        </w:rPr>
        <w:t xml:space="preserve">) to provide written reports to </w:t>
      </w:r>
      <w:r w:rsidRPr="0000696C">
        <w:rPr>
          <w:b/>
          <w:iCs/>
          <w:sz w:val="20"/>
          <w:szCs w:val="20"/>
        </w:rPr>
        <w:t>ASIC</w:t>
      </w:r>
      <w:r w:rsidRPr="0000696C">
        <w:rPr>
          <w:iCs/>
          <w:sz w:val="20"/>
          <w:szCs w:val="20"/>
        </w:rPr>
        <w:t xml:space="preserve"> on the adequacy of </w:t>
      </w:r>
      <w:r w:rsidRPr="0000696C">
        <w:rPr>
          <w:b/>
          <w:iCs/>
          <w:sz w:val="20"/>
          <w:szCs w:val="20"/>
        </w:rPr>
        <w:t>Mr Traianedes’</w:t>
      </w:r>
      <w:r w:rsidRPr="0000696C">
        <w:rPr>
          <w:iCs/>
          <w:sz w:val="20"/>
          <w:szCs w:val="20"/>
        </w:rPr>
        <w:t xml:space="preserve"> compliance with all relevant requirements and professional standards including, but not limited to, independence/conflicts, investigations, reporting to creditors and </w:t>
      </w:r>
      <w:r w:rsidRPr="0000696C">
        <w:rPr>
          <w:b/>
          <w:iCs/>
          <w:sz w:val="20"/>
          <w:szCs w:val="20"/>
        </w:rPr>
        <w:t>ASIC</w:t>
      </w:r>
      <w:r w:rsidRPr="0000696C">
        <w:rPr>
          <w:iCs/>
          <w:sz w:val="20"/>
          <w:szCs w:val="20"/>
        </w:rPr>
        <w:t>, and remuneration;</w:t>
      </w:r>
    </w:p>
    <w:p w14:paraId="6BACC8E7" w14:textId="77777777" w:rsidR="0000696C" w:rsidRPr="0000696C" w:rsidRDefault="0000696C" w:rsidP="00E43978">
      <w:pPr>
        <w:pStyle w:val="ListParagraph"/>
        <w:numPr>
          <w:ilvl w:val="0"/>
          <w:numId w:val="45"/>
        </w:numPr>
        <w:spacing w:before="240" w:line="240" w:lineRule="auto"/>
        <w:ind w:left="2268" w:right="56" w:hanging="567"/>
        <w:contextualSpacing w:val="0"/>
        <w:jc w:val="both"/>
        <w:rPr>
          <w:iCs/>
          <w:sz w:val="20"/>
          <w:szCs w:val="20"/>
        </w:rPr>
      </w:pPr>
      <w:r w:rsidRPr="0000696C">
        <w:rPr>
          <w:sz w:val="20"/>
          <w:szCs w:val="20"/>
        </w:rPr>
        <w:t xml:space="preserve">use his best endeavours to procure that the reports are provided to </w:t>
      </w:r>
      <w:r w:rsidRPr="0000696C">
        <w:rPr>
          <w:b/>
          <w:sz w:val="20"/>
          <w:szCs w:val="20"/>
        </w:rPr>
        <w:t>ASIC</w:t>
      </w:r>
      <w:r w:rsidRPr="0000696C">
        <w:rPr>
          <w:sz w:val="20"/>
          <w:szCs w:val="20"/>
        </w:rPr>
        <w:t>: (i) within 6 months of the commencement of the appointment and (ii) if the appointment has not concluded within 12 months of its commencement, further reports one month after each 12 month period and a final report one month after completion of the appointment.</w:t>
      </w:r>
    </w:p>
    <w:p w14:paraId="5EA42500" w14:textId="77777777" w:rsidR="0000696C" w:rsidRPr="0000696C" w:rsidRDefault="0000696C" w:rsidP="00E43978">
      <w:pPr>
        <w:pStyle w:val="ListParagraph"/>
        <w:numPr>
          <w:ilvl w:val="0"/>
          <w:numId w:val="43"/>
        </w:numPr>
        <w:spacing w:before="240" w:line="240" w:lineRule="auto"/>
        <w:ind w:left="1134" w:right="56" w:hanging="567"/>
        <w:contextualSpacing w:val="0"/>
        <w:jc w:val="both"/>
        <w:rPr>
          <w:sz w:val="20"/>
          <w:szCs w:val="20"/>
        </w:rPr>
      </w:pPr>
      <w:r w:rsidRPr="0000696C">
        <w:rPr>
          <w:sz w:val="20"/>
          <w:szCs w:val="20"/>
        </w:rPr>
        <w:t xml:space="preserve">If, during the period of 3 years following the expiry of the suspension period, </w:t>
      </w:r>
      <w:r w:rsidRPr="0000696C">
        <w:rPr>
          <w:b/>
          <w:sz w:val="20"/>
          <w:szCs w:val="20"/>
        </w:rPr>
        <w:t>Mr Traianedes</w:t>
      </w:r>
      <w:r w:rsidRPr="0000696C">
        <w:rPr>
          <w:sz w:val="20"/>
          <w:szCs w:val="20"/>
        </w:rPr>
        <w:t xml:space="preserve"> commences practice as a sole practitioner (that is, in a practice where he is the sole registered liquidator) he will:</w:t>
      </w:r>
    </w:p>
    <w:p w14:paraId="5A2C5E2B" w14:textId="77777777" w:rsidR="0000696C" w:rsidRPr="0000696C" w:rsidRDefault="0000696C" w:rsidP="00E43978">
      <w:pPr>
        <w:pStyle w:val="ListParagraph"/>
        <w:numPr>
          <w:ilvl w:val="0"/>
          <w:numId w:val="46"/>
        </w:numPr>
        <w:spacing w:before="240" w:line="240" w:lineRule="auto"/>
        <w:ind w:left="1701" w:right="56" w:hanging="567"/>
        <w:contextualSpacing w:val="0"/>
        <w:jc w:val="both"/>
        <w:rPr>
          <w:sz w:val="20"/>
          <w:szCs w:val="20"/>
        </w:rPr>
      </w:pPr>
      <w:r w:rsidRPr="0000696C">
        <w:rPr>
          <w:sz w:val="20"/>
          <w:szCs w:val="20"/>
        </w:rPr>
        <w:t xml:space="preserve">within 3 months of commencing such practice, have all template, checklist and </w:t>
      </w:r>
      <w:r w:rsidRPr="0000696C">
        <w:rPr>
          <w:iCs/>
          <w:sz w:val="20"/>
          <w:szCs w:val="20"/>
        </w:rPr>
        <w:t xml:space="preserve">procedure </w:t>
      </w:r>
      <w:r w:rsidRPr="0000696C">
        <w:rPr>
          <w:sz w:val="20"/>
          <w:szCs w:val="20"/>
        </w:rPr>
        <w:t xml:space="preserve">documents to be used in the practice reviewed (at his cost) by an independent reviewer (approved by </w:t>
      </w:r>
      <w:r w:rsidRPr="0000696C">
        <w:rPr>
          <w:b/>
          <w:sz w:val="20"/>
          <w:szCs w:val="20"/>
        </w:rPr>
        <w:t>ASIC</w:t>
      </w:r>
      <w:r w:rsidRPr="0000696C">
        <w:rPr>
          <w:sz w:val="20"/>
          <w:szCs w:val="20"/>
        </w:rPr>
        <w:t>) who will provide a written report on compliance with industry best practice, and recommendations for any changes to his processes and documents to comply with best practice; and</w:t>
      </w:r>
    </w:p>
    <w:p w14:paraId="73258A69" w14:textId="77777777" w:rsidR="0000696C" w:rsidRPr="0000696C" w:rsidRDefault="0000696C" w:rsidP="00E43978">
      <w:pPr>
        <w:pStyle w:val="ListParagraph"/>
        <w:numPr>
          <w:ilvl w:val="0"/>
          <w:numId w:val="46"/>
        </w:numPr>
        <w:spacing w:before="240" w:line="240" w:lineRule="auto"/>
        <w:ind w:left="1701" w:right="56" w:hanging="567"/>
        <w:contextualSpacing w:val="0"/>
        <w:jc w:val="both"/>
        <w:rPr>
          <w:sz w:val="20"/>
          <w:szCs w:val="20"/>
        </w:rPr>
      </w:pPr>
      <w:r w:rsidRPr="0000696C">
        <w:rPr>
          <w:sz w:val="20"/>
          <w:szCs w:val="20"/>
        </w:rPr>
        <w:t>within 3 months of the completion of such review, make any changes to those processes and documents recommended by the external reviewer;</w:t>
      </w:r>
    </w:p>
    <w:p w14:paraId="023BC27A" w14:textId="77777777" w:rsidR="0000696C" w:rsidRPr="0000696C" w:rsidRDefault="0000696C" w:rsidP="00E43978">
      <w:pPr>
        <w:pStyle w:val="ListParagraph"/>
        <w:numPr>
          <w:ilvl w:val="0"/>
          <w:numId w:val="46"/>
        </w:numPr>
        <w:spacing w:before="240" w:line="240" w:lineRule="auto"/>
        <w:ind w:left="1701" w:right="56" w:hanging="567"/>
        <w:contextualSpacing w:val="0"/>
        <w:jc w:val="both"/>
        <w:rPr>
          <w:sz w:val="20"/>
          <w:szCs w:val="20"/>
        </w:rPr>
      </w:pPr>
      <w:r w:rsidRPr="0000696C">
        <w:rPr>
          <w:sz w:val="20"/>
          <w:szCs w:val="20"/>
        </w:rPr>
        <w:lastRenderedPageBreak/>
        <w:t xml:space="preserve">provide to </w:t>
      </w:r>
      <w:r w:rsidRPr="0000696C">
        <w:rPr>
          <w:b/>
          <w:sz w:val="20"/>
          <w:szCs w:val="20"/>
        </w:rPr>
        <w:t>ASIC</w:t>
      </w:r>
      <w:r w:rsidRPr="0000696C">
        <w:rPr>
          <w:sz w:val="20"/>
          <w:szCs w:val="20"/>
        </w:rPr>
        <w:t>, as soon as reasonably practicable, the report and recommendations made by the external reviewer, and an explanation (by way of a statutory declaration) of the steps that he has taken to institute any recommendations made.</w:t>
      </w:r>
    </w:p>
    <w:p w14:paraId="49A07E30" w14:textId="77777777" w:rsidR="0000696C" w:rsidRPr="0000696C" w:rsidRDefault="0000696C" w:rsidP="00B04A7B">
      <w:pPr>
        <w:keepNext/>
        <w:spacing w:before="240"/>
        <w:ind w:right="56"/>
        <w:jc w:val="both"/>
        <w:rPr>
          <w:b/>
          <w:sz w:val="20"/>
          <w:szCs w:val="20"/>
        </w:rPr>
      </w:pPr>
      <w:r w:rsidRPr="0000696C">
        <w:rPr>
          <w:b/>
          <w:sz w:val="20"/>
          <w:szCs w:val="20"/>
        </w:rPr>
        <w:t>Undertaking as to employment during the period of suspension</w:t>
      </w:r>
    </w:p>
    <w:p w14:paraId="2D15D64D" w14:textId="77777777" w:rsidR="0000696C" w:rsidRPr="0000696C" w:rsidRDefault="0000696C" w:rsidP="00E43978">
      <w:pPr>
        <w:pStyle w:val="ListParagraph"/>
        <w:numPr>
          <w:ilvl w:val="0"/>
          <w:numId w:val="39"/>
        </w:numPr>
        <w:spacing w:before="240" w:line="240" w:lineRule="auto"/>
        <w:ind w:left="567" w:right="56" w:hanging="567"/>
        <w:contextualSpacing w:val="0"/>
        <w:jc w:val="both"/>
        <w:rPr>
          <w:iCs/>
          <w:sz w:val="20"/>
          <w:szCs w:val="20"/>
        </w:rPr>
      </w:pPr>
      <w:r w:rsidRPr="0000696C">
        <w:rPr>
          <w:b/>
          <w:iCs/>
          <w:sz w:val="20"/>
          <w:szCs w:val="20"/>
        </w:rPr>
        <w:t>Mr Traianedes</w:t>
      </w:r>
      <w:r w:rsidRPr="0000696C">
        <w:rPr>
          <w:iCs/>
          <w:sz w:val="20"/>
          <w:szCs w:val="20"/>
        </w:rPr>
        <w:t xml:space="preserve"> gives the following undertaking in writing to </w:t>
      </w:r>
      <w:r w:rsidRPr="0000696C">
        <w:rPr>
          <w:b/>
          <w:iCs/>
          <w:sz w:val="20"/>
          <w:szCs w:val="20"/>
        </w:rPr>
        <w:t>the Board</w:t>
      </w:r>
      <w:r w:rsidRPr="0000696C">
        <w:rPr>
          <w:iCs/>
          <w:sz w:val="20"/>
          <w:szCs w:val="20"/>
        </w:rPr>
        <w:t xml:space="preserve"> and </w:t>
      </w:r>
      <w:r w:rsidRPr="0000696C">
        <w:rPr>
          <w:b/>
          <w:iCs/>
          <w:sz w:val="20"/>
          <w:szCs w:val="20"/>
        </w:rPr>
        <w:t>ASIC</w:t>
      </w:r>
      <w:r w:rsidRPr="0000696C">
        <w:rPr>
          <w:iCs/>
          <w:sz w:val="20"/>
          <w:szCs w:val="20"/>
        </w:rPr>
        <w:t xml:space="preserve"> within seven (7) days after this order takes effect:</w:t>
      </w:r>
    </w:p>
    <w:p w14:paraId="39CB10CE" w14:textId="77777777" w:rsidR="0000696C" w:rsidRPr="0000696C" w:rsidRDefault="0000696C" w:rsidP="00E43978">
      <w:pPr>
        <w:pStyle w:val="ListParagraph"/>
        <w:numPr>
          <w:ilvl w:val="0"/>
          <w:numId w:val="47"/>
        </w:numPr>
        <w:spacing w:before="240" w:line="240" w:lineRule="auto"/>
        <w:ind w:left="1134" w:right="56" w:hanging="567"/>
        <w:contextualSpacing w:val="0"/>
        <w:jc w:val="both"/>
        <w:rPr>
          <w:iCs/>
          <w:sz w:val="20"/>
          <w:szCs w:val="20"/>
        </w:rPr>
      </w:pPr>
      <w:r w:rsidRPr="0000696C">
        <w:rPr>
          <w:iCs/>
          <w:sz w:val="20"/>
          <w:szCs w:val="20"/>
        </w:rPr>
        <w:t xml:space="preserve">During the period of his suspension, </w:t>
      </w:r>
      <w:r w:rsidRPr="0000696C">
        <w:rPr>
          <w:b/>
          <w:iCs/>
          <w:sz w:val="20"/>
          <w:szCs w:val="20"/>
        </w:rPr>
        <w:t>Mr Traianedes</w:t>
      </w:r>
      <w:r w:rsidRPr="0000696C">
        <w:rPr>
          <w:iCs/>
          <w:sz w:val="20"/>
          <w:szCs w:val="20"/>
        </w:rPr>
        <w:t xml:space="preserve"> will not undertake work in relation to any formal insolvency appointment except as supervised by a registered liquidator in a firm or practice not established by </w:t>
      </w:r>
      <w:r w:rsidRPr="0000696C">
        <w:rPr>
          <w:b/>
          <w:iCs/>
          <w:sz w:val="20"/>
          <w:szCs w:val="20"/>
        </w:rPr>
        <w:t>Mr Traianedes</w:t>
      </w:r>
      <w:r w:rsidRPr="0000696C">
        <w:rPr>
          <w:iCs/>
          <w:sz w:val="20"/>
          <w:szCs w:val="20"/>
        </w:rPr>
        <w:t xml:space="preserve">. </w:t>
      </w:r>
    </w:p>
    <w:p w14:paraId="3E507797" w14:textId="77777777" w:rsidR="0000696C" w:rsidRPr="0000696C" w:rsidRDefault="0000696C" w:rsidP="00E43978">
      <w:pPr>
        <w:pStyle w:val="ListParagraph"/>
        <w:numPr>
          <w:ilvl w:val="0"/>
          <w:numId w:val="47"/>
        </w:numPr>
        <w:spacing w:before="240" w:line="240" w:lineRule="auto"/>
        <w:ind w:left="1134" w:right="56" w:hanging="567"/>
        <w:contextualSpacing w:val="0"/>
        <w:jc w:val="both"/>
        <w:rPr>
          <w:iCs/>
          <w:sz w:val="20"/>
          <w:szCs w:val="20"/>
        </w:rPr>
      </w:pPr>
      <w:r w:rsidRPr="0000696C">
        <w:rPr>
          <w:iCs/>
          <w:sz w:val="20"/>
          <w:szCs w:val="20"/>
        </w:rPr>
        <w:t xml:space="preserve">The arrangement that he enters into with any firm in association with whom </w:t>
      </w:r>
      <w:r w:rsidRPr="0000696C">
        <w:rPr>
          <w:b/>
          <w:iCs/>
          <w:sz w:val="20"/>
          <w:szCs w:val="20"/>
        </w:rPr>
        <w:t>Mr Traianedes</w:t>
      </w:r>
      <w:r w:rsidRPr="0000696C">
        <w:rPr>
          <w:iCs/>
          <w:sz w:val="20"/>
          <w:szCs w:val="20"/>
        </w:rPr>
        <w:t xml:space="preserve"> undertakes insolvency-related work, and the manner in which his role is represented to clients and the public, will not be such as to suggest that </w:t>
      </w:r>
      <w:r w:rsidRPr="0000696C">
        <w:rPr>
          <w:b/>
          <w:iCs/>
          <w:sz w:val="20"/>
          <w:szCs w:val="20"/>
        </w:rPr>
        <w:t>Mr Traianedes</w:t>
      </w:r>
      <w:r w:rsidRPr="0000696C">
        <w:rPr>
          <w:iCs/>
          <w:sz w:val="20"/>
          <w:szCs w:val="20"/>
        </w:rPr>
        <w:t xml:space="preserve"> is a registered liquidator or a principal in that firm or practice.  </w:t>
      </w:r>
    </w:p>
    <w:p w14:paraId="3008C402" w14:textId="77777777" w:rsidR="0000696C" w:rsidRPr="0000696C" w:rsidRDefault="0000696C" w:rsidP="00E43978">
      <w:pPr>
        <w:pStyle w:val="ListParagraph"/>
        <w:numPr>
          <w:ilvl w:val="0"/>
          <w:numId w:val="47"/>
        </w:numPr>
        <w:spacing w:before="240" w:line="240" w:lineRule="auto"/>
        <w:ind w:left="1134" w:right="56" w:hanging="567"/>
        <w:contextualSpacing w:val="0"/>
        <w:jc w:val="both"/>
        <w:rPr>
          <w:iCs/>
          <w:sz w:val="20"/>
          <w:szCs w:val="20"/>
        </w:rPr>
      </w:pPr>
      <w:r w:rsidRPr="0000696C">
        <w:rPr>
          <w:b/>
          <w:iCs/>
          <w:sz w:val="20"/>
          <w:szCs w:val="20"/>
        </w:rPr>
        <w:t>Mr Traianedes</w:t>
      </w:r>
      <w:r w:rsidRPr="0000696C">
        <w:rPr>
          <w:iCs/>
          <w:sz w:val="20"/>
          <w:szCs w:val="20"/>
        </w:rPr>
        <w:t xml:space="preserve"> will report in writing to </w:t>
      </w:r>
      <w:r w:rsidRPr="0000696C">
        <w:rPr>
          <w:b/>
          <w:iCs/>
          <w:sz w:val="20"/>
          <w:szCs w:val="20"/>
        </w:rPr>
        <w:t xml:space="preserve">ASIC </w:t>
      </w:r>
      <w:r w:rsidRPr="0000696C">
        <w:rPr>
          <w:iCs/>
          <w:sz w:val="20"/>
          <w:szCs w:val="20"/>
        </w:rPr>
        <w:t xml:space="preserve">as to  the nature of the arrangements pursuant to which he is employed or engaged by IRT Advisory or any other firm once those arrangements are formalised and will report further to </w:t>
      </w:r>
      <w:r w:rsidRPr="0000696C">
        <w:rPr>
          <w:b/>
          <w:iCs/>
          <w:sz w:val="20"/>
          <w:szCs w:val="20"/>
        </w:rPr>
        <w:t>ASIC</w:t>
      </w:r>
      <w:r w:rsidRPr="0000696C">
        <w:rPr>
          <w:iCs/>
          <w:sz w:val="20"/>
          <w:szCs w:val="20"/>
        </w:rPr>
        <w:t xml:space="preserve"> if there is any subsequent change to those arrangements during this suspension period. </w:t>
      </w:r>
    </w:p>
    <w:p w14:paraId="5B5446A2" w14:textId="77777777" w:rsidR="0000696C" w:rsidRPr="0000696C" w:rsidRDefault="0000696C" w:rsidP="00E43978">
      <w:pPr>
        <w:pStyle w:val="ListParagraph"/>
        <w:numPr>
          <w:ilvl w:val="0"/>
          <w:numId w:val="47"/>
        </w:numPr>
        <w:spacing w:before="240" w:after="600" w:line="240" w:lineRule="auto"/>
        <w:ind w:left="1134" w:right="56" w:hanging="567"/>
        <w:contextualSpacing w:val="0"/>
        <w:jc w:val="both"/>
        <w:rPr>
          <w:iCs/>
          <w:sz w:val="20"/>
          <w:szCs w:val="20"/>
        </w:rPr>
      </w:pPr>
      <w:r w:rsidRPr="0000696C">
        <w:rPr>
          <w:b/>
          <w:iCs/>
          <w:sz w:val="20"/>
          <w:szCs w:val="20"/>
        </w:rPr>
        <w:t>Mr Traianedes</w:t>
      </w:r>
      <w:r w:rsidRPr="0000696C">
        <w:rPr>
          <w:iCs/>
          <w:sz w:val="20"/>
          <w:szCs w:val="20"/>
        </w:rPr>
        <w:t xml:space="preserve"> will provide any information or documentation requested of him by </w:t>
      </w:r>
      <w:r w:rsidRPr="0000696C">
        <w:rPr>
          <w:b/>
          <w:iCs/>
          <w:sz w:val="20"/>
          <w:szCs w:val="20"/>
        </w:rPr>
        <w:t>ASIC</w:t>
      </w:r>
      <w:r w:rsidRPr="0000696C">
        <w:rPr>
          <w:iCs/>
          <w:sz w:val="20"/>
          <w:szCs w:val="20"/>
        </w:rPr>
        <w:t xml:space="preserve"> (in </w:t>
      </w:r>
      <w:r w:rsidRPr="0000696C">
        <w:rPr>
          <w:b/>
          <w:iCs/>
          <w:sz w:val="20"/>
          <w:szCs w:val="20"/>
        </w:rPr>
        <w:t>ASIC’s</w:t>
      </w:r>
      <w:r w:rsidRPr="0000696C">
        <w:rPr>
          <w:iCs/>
          <w:sz w:val="20"/>
          <w:szCs w:val="20"/>
        </w:rPr>
        <w:t xml:space="preserve"> sole discretion) for the purposes of verifying any of the matters set out at sub-paragraphs 4(a) to (c) above.  </w:t>
      </w:r>
    </w:p>
    <w:p w14:paraId="6A0966E3" w14:textId="77777777" w:rsidR="0000696C" w:rsidRPr="0000696C" w:rsidRDefault="0000696C" w:rsidP="00B04A7B">
      <w:pPr>
        <w:spacing w:before="240"/>
        <w:ind w:right="56"/>
        <w:jc w:val="both"/>
        <w:rPr>
          <w:b/>
          <w:sz w:val="20"/>
          <w:szCs w:val="20"/>
          <w:lang w:val="en-US"/>
        </w:rPr>
      </w:pPr>
      <w:r w:rsidRPr="0000696C">
        <w:rPr>
          <w:b/>
          <w:sz w:val="20"/>
          <w:szCs w:val="20"/>
          <w:lang w:val="en-US"/>
        </w:rPr>
        <w:t>SCHEDULE B: COMPANIES</w:t>
      </w:r>
    </w:p>
    <w:p w14:paraId="05BCF00E" w14:textId="77777777" w:rsidR="0000696C" w:rsidRPr="0000696C" w:rsidRDefault="0000696C" w:rsidP="00B04A7B">
      <w:pPr>
        <w:spacing w:before="240"/>
        <w:ind w:right="56"/>
        <w:jc w:val="both"/>
        <w:rPr>
          <w:sz w:val="20"/>
          <w:szCs w:val="20"/>
          <w:lang w:val="en-US"/>
        </w:rPr>
      </w:pPr>
      <w:r w:rsidRPr="0000696C">
        <w:rPr>
          <w:sz w:val="20"/>
          <w:szCs w:val="20"/>
          <w:lang w:val="en-US"/>
        </w:rPr>
        <w:t>Creditors' Voluntary Liquidation</w:t>
      </w:r>
    </w:p>
    <w:p w14:paraId="3C51F78B"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t>Playzone (Australia Pty Ltd) ACN 097 564 924</w:t>
      </w:r>
    </w:p>
    <w:p w14:paraId="2F925AA7"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t>Sutherlands Creek Farm Pty Ltd ACN 124 637 298</w:t>
      </w:r>
    </w:p>
    <w:p w14:paraId="1CAC7344"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t>Zamac Property Holdings Pty Ltd ACN 125 774 870</w:t>
      </w:r>
    </w:p>
    <w:p w14:paraId="1ECEACD4"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t>JCP Carpentry &amp; Design Pty Ltd ACN 082 989 973</w:t>
      </w:r>
    </w:p>
    <w:p w14:paraId="79C91289"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t>PC Construct Pty Ltd ACN 147 812 851</w:t>
      </w:r>
    </w:p>
    <w:p w14:paraId="31D90396"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t>Cyberduck Software Pty Ltd ACN 075 497 415</w:t>
      </w:r>
    </w:p>
    <w:p w14:paraId="6D6B6808"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lastRenderedPageBreak/>
        <w:t>B.A.S (R&amp;D) Pty Ltd ACN 060 882 224</w:t>
      </w:r>
    </w:p>
    <w:p w14:paraId="4C82F33E"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t>B.A.S Melb Pty Ltd ACN 100 085 229</w:t>
      </w:r>
    </w:p>
    <w:p w14:paraId="56BA6092" w14:textId="77777777" w:rsidR="0000696C" w:rsidRPr="0000696C" w:rsidRDefault="0000696C" w:rsidP="00E43978">
      <w:pPr>
        <w:numPr>
          <w:ilvl w:val="0"/>
          <w:numId w:val="36"/>
        </w:numPr>
        <w:spacing w:before="240" w:line="240" w:lineRule="auto"/>
        <w:ind w:left="1134" w:right="56" w:hanging="567"/>
        <w:jc w:val="both"/>
        <w:rPr>
          <w:sz w:val="20"/>
          <w:szCs w:val="20"/>
          <w:lang w:val="en-US"/>
        </w:rPr>
      </w:pPr>
      <w:r w:rsidRPr="0000696C">
        <w:rPr>
          <w:sz w:val="20"/>
          <w:szCs w:val="20"/>
          <w:lang w:val="en-US"/>
        </w:rPr>
        <w:t>Prosperity Legal Group Pty Ltd ACN 123 412 331</w:t>
      </w:r>
    </w:p>
    <w:p w14:paraId="4717B314" w14:textId="77777777" w:rsidR="0000696C" w:rsidRPr="00231081" w:rsidRDefault="0000696C" w:rsidP="00B04A7B">
      <w:pPr>
        <w:pStyle w:val="Level1fo"/>
        <w:spacing w:before="0"/>
        <w:ind w:left="0" w:right="56"/>
        <w:jc w:val="both"/>
        <w:rPr>
          <w:rFonts w:ascii="Times New Roman" w:hAnsi="Times New Roman"/>
          <w:sz w:val="24"/>
        </w:rPr>
      </w:pPr>
      <w:bookmarkStart w:id="36" w:name="PNUM_122"/>
      <w:bookmarkEnd w:id="36"/>
    </w:p>
    <w:p w14:paraId="50E8A7FD" w14:textId="77777777" w:rsidR="007E4D83" w:rsidRPr="007E4D83" w:rsidRDefault="007E4D83" w:rsidP="007E4D83">
      <w:pPr>
        <w:pStyle w:val="Level1fo"/>
        <w:tabs>
          <w:tab w:val="left" w:pos="851"/>
        </w:tabs>
        <w:spacing w:before="100" w:beforeAutospacing="1"/>
        <w:ind w:left="0"/>
        <w:jc w:val="both"/>
        <w:rPr>
          <w:rFonts w:ascii="Book Antiqua" w:hAnsi="Book Antiqua"/>
          <w:sz w:val="20"/>
          <w:szCs w:val="20"/>
        </w:rPr>
      </w:pPr>
    </w:p>
    <w:sectPr w:rsidR="007E4D83" w:rsidRPr="007E4D83" w:rsidSect="000450F5">
      <w:headerReference w:type="default" r:id="rId40"/>
      <w:pgSz w:w="11907" w:h="16834" w:code="9"/>
      <w:pgMar w:top="2466" w:right="2098" w:bottom="2466" w:left="2098" w:header="1899" w:footer="189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41E71" w14:textId="77777777" w:rsidR="00236BB5" w:rsidRDefault="00236BB5">
      <w:r>
        <w:separator/>
      </w:r>
    </w:p>
  </w:endnote>
  <w:endnote w:type="continuationSeparator" w:id="0">
    <w:p w14:paraId="3E284943" w14:textId="77777777" w:rsidR="00236BB5" w:rsidRDefault="0023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CABA9" w14:textId="4ABDA08A" w:rsidR="00236BB5" w:rsidRDefault="00236BB5" w:rsidP="00C44375">
    <w:pPr>
      <w:pStyle w:val="FooterEven"/>
    </w:pPr>
    <w:r>
      <w:fldChar w:fldCharType="begin"/>
    </w:r>
    <w:r>
      <w:instrText xml:space="preserve"> PAGE   \* MERGEFORMAT </w:instrText>
    </w:r>
    <w:r>
      <w:fldChar w:fldCharType="separate"/>
    </w:r>
    <w:r w:rsidR="00F749E8">
      <w:rPr>
        <w:noProof/>
      </w:rPr>
      <w:t>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A25D" w14:textId="77777777" w:rsidR="00236BB5" w:rsidRDefault="00236BB5" w:rsidP="00494F8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FFFA4" w14:textId="77777777" w:rsidR="00236BB5" w:rsidRDefault="00236BB5" w:rsidP="002C1207">
    <w:pPr>
      <w:pStyle w:val="FooterOdd"/>
    </w:pPr>
    <w:r>
      <w:rPr>
        <w:rStyle w:val="PageNumber"/>
      </w:rPr>
      <w:fldChar w:fldCharType="begin"/>
    </w:r>
    <w:r>
      <w:rPr>
        <w:rStyle w:val="PageNumber"/>
      </w:rPr>
      <w:instrText xml:space="preserve"> PAGE </w:instrText>
    </w:r>
    <w:r>
      <w:rPr>
        <w:rStyle w:val="PageNumber"/>
      </w:rPr>
      <w:fldChar w:fldCharType="separate"/>
    </w:r>
    <w:r w:rsidR="00F749E8">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485C" w14:textId="77777777" w:rsidR="00236BB5" w:rsidRPr="005F5806" w:rsidRDefault="00236BB5" w:rsidP="00C44375">
    <w:pPr>
      <w:pStyle w:val="FooterOdd"/>
    </w:pPr>
    <w:r>
      <w:fldChar w:fldCharType="begin"/>
    </w:r>
    <w:r>
      <w:instrText xml:space="preserve"> PAGE   \* MERGEFORMAT </w:instrText>
    </w:r>
    <w:r>
      <w:fldChar w:fldCharType="separate"/>
    </w:r>
    <w:r w:rsidR="00F749E8">
      <w:rPr>
        <w:noProof/>
      </w:rPr>
      <w:t>27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B6E3F" w14:textId="68E15BFF" w:rsidR="00236BB5" w:rsidRDefault="00236BB5" w:rsidP="00C44375">
    <w:pPr>
      <w:pStyle w:val="FooterOdd"/>
    </w:pPr>
    <w:r>
      <w:fldChar w:fldCharType="begin"/>
    </w:r>
    <w:r>
      <w:instrText xml:space="preserve"> PAGE   \* MERGEFORMAT </w:instrText>
    </w:r>
    <w:r>
      <w:fldChar w:fldCharType="separate"/>
    </w:r>
    <w:r w:rsidR="00F749E8">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0704C" w14:textId="77777777" w:rsidR="00236BB5" w:rsidRDefault="00236BB5" w:rsidP="002A5CD4">
      <w:pPr>
        <w:spacing w:after="180"/>
      </w:pPr>
      <w:r>
        <w:separator/>
      </w:r>
    </w:p>
  </w:footnote>
  <w:footnote w:type="continuationSeparator" w:id="0">
    <w:p w14:paraId="4D4CDED6" w14:textId="77777777" w:rsidR="00236BB5" w:rsidRDefault="00236BB5">
      <w:r>
        <w:continuationSeparator/>
      </w:r>
    </w:p>
  </w:footnote>
  <w:footnote w:id="1">
    <w:p w14:paraId="2B2286BB" w14:textId="77777777" w:rsidR="00236BB5" w:rsidRDefault="00236BB5" w:rsidP="00745EE1">
      <w:pPr>
        <w:pStyle w:val="FootnoteText"/>
      </w:pPr>
      <w:r w:rsidRPr="004677CD">
        <w:rPr>
          <w:rStyle w:val="FootnoteReference"/>
          <w:szCs w:val="18"/>
          <w:vertAlign w:val="baseline"/>
        </w:rPr>
        <w:footnoteRef/>
      </w:r>
      <w:r w:rsidRPr="00376D66">
        <w:rPr>
          <w:szCs w:val="18"/>
        </w:rPr>
        <w:t xml:space="preserve"> </w:t>
      </w:r>
      <w:r>
        <w:rPr>
          <w:szCs w:val="18"/>
          <w:lang w:val="en-AU"/>
        </w:rPr>
        <w:tab/>
      </w:r>
      <w:r w:rsidRPr="00C44375">
        <w:t>See</w:t>
      </w:r>
      <w:r>
        <w:t xml:space="preserve"> also </w:t>
      </w:r>
      <w:r w:rsidRPr="00091CBC">
        <w:rPr>
          <w:b/>
        </w:rPr>
        <w:t>Appendix 3</w:t>
      </w:r>
      <w:r>
        <w:rPr>
          <w:b/>
        </w:rPr>
        <w:t xml:space="preserve"> </w:t>
      </w:r>
      <w:r w:rsidRPr="00F945CA">
        <w:t>which</w:t>
      </w:r>
      <w:r>
        <w:rPr>
          <w:b/>
        </w:rPr>
        <w:t xml:space="preserve"> </w:t>
      </w:r>
      <w:r>
        <w:t xml:space="preserve">contains notices </w:t>
      </w:r>
      <w:r>
        <w:rPr>
          <w:lang w:val="en-AU"/>
        </w:rPr>
        <w:t>of two</w:t>
      </w:r>
      <w:r>
        <w:t xml:space="preserve"> decisions, as published in the </w:t>
      </w:r>
      <w:r>
        <w:rPr>
          <w:i/>
        </w:rPr>
        <w:t xml:space="preserve">Gazette </w:t>
      </w:r>
      <w:r>
        <w:t>as at the end of the reporting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3DFD" w14:textId="6F6059E1" w:rsidR="00236BB5" w:rsidRDefault="00236BB5" w:rsidP="00C44375">
    <w:pPr>
      <w:pStyle w:val="HeaderEven"/>
    </w:pPr>
    <w:r>
      <w:t>Companies Auditors and Liquidators Disciplinary Board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60B5A" w14:textId="564E3491" w:rsidR="00236BB5" w:rsidRPr="00287282" w:rsidRDefault="00236BB5" w:rsidP="00287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F105" w14:textId="2E5825D5" w:rsidR="00236BB5" w:rsidRPr="00287282" w:rsidRDefault="00236BB5" w:rsidP="002872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74E8C" w14:textId="77777777" w:rsidR="00236BB5" w:rsidRPr="007B2692" w:rsidRDefault="00236BB5" w:rsidP="007B26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AEF38" w14:textId="1EA73ED2" w:rsidR="00236BB5" w:rsidRDefault="00236BB5" w:rsidP="00C44375">
    <w:pPr>
      <w:pStyle w:val="HeaderEven"/>
    </w:pPr>
    <w:r>
      <w:t>Companies Auditors Disciplinary Board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8668" w14:textId="7E4A7736" w:rsidR="00236BB5" w:rsidRPr="007B2692" w:rsidRDefault="00236BB5" w:rsidP="00C44375">
    <w:pPr>
      <w:pStyle w:val="HeaderEven"/>
    </w:pPr>
    <w:r>
      <w:t>Companies Auditors and Liquidators Disciplinary Board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DC2AC" w14:textId="2B029F55" w:rsidR="00236BB5" w:rsidRPr="007B2692" w:rsidRDefault="00236BB5" w:rsidP="00C44375">
    <w:pPr>
      <w:pStyle w:val="HeaderOdd"/>
    </w:pPr>
    <w:r>
      <w:t>Annual Report 2016–17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A8DDE" w14:textId="70E16772" w:rsidR="00236BB5" w:rsidRPr="009256BD" w:rsidRDefault="00236BB5" w:rsidP="009256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AC5F" w14:textId="10E0FB86" w:rsidR="00236BB5" w:rsidRPr="009256BD" w:rsidRDefault="00236BB5" w:rsidP="009256BD">
    <w:pPr>
      <w:pStyle w:val="HeaderOdd"/>
    </w:pPr>
    <w:r>
      <w:t>Annual Report 2016–17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9160E" w14:textId="03E01831" w:rsidR="00236BB5" w:rsidRPr="00287282" w:rsidRDefault="00236BB5" w:rsidP="00287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6843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0489A"/>
    <w:multiLevelType w:val="hybridMultilevel"/>
    <w:tmpl w:val="D9C4F632"/>
    <w:lvl w:ilvl="0" w:tplc="AA3C2B3A">
      <w:start w:val="1"/>
      <w:numFmt w:val="lowerLetter"/>
      <w:lvlText w:val="(%1)"/>
      <w:lvlJc w:val="left"/>
      <w:pPr>
        <w:ind w:left="1440" w:hanging="360"/>
      </w:pPr>
      <w:rPr>
        <w:rFonts w:ascii="Times New Roman" w:hAnsi="Times New Roman" w:hint="default"/>
        <w:b w:val="0"/>
        <w:i w:val="0"/>
        <w:sz w:val="24"/>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AE65AF8"/>
    <w:multiLevelType w:val="hybridMultilevel"/>
    <w:tmpl w:val="25F22D0E"/>
    <w:lvl w:ilvl="0" w:tplc="FDE6ED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1D5515"/>
    <w:multiLevelType w:val="hybridMultilevel"/>
    <w:tmpl w:val="AEDA6B3E"/>
    <w:lvl w:ilvl="0" w:tplc="F4CAADFC">
      <w:start w:val="1"/>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F761B1"/>
    <w:multiLevelType w:val="hybridMultilevel"/>
    <w:tmpl w:val="2390C09C"/>
    <w:lvl w:ilvl="0" w:tplc="AA3C2B3A">
      <w:start w:val="1"/>
      <w:numFmt w:val="lowerLetter"/>
      <w:lvlText w:val="(%1)"/>
      <w:lvlJc w:val="left"/>
      <w:pPr>
        <w:ind w:left="1440" w:hanging="360"/>
      </w:pPr>
      <w:rPr>
        <w:rFonts w:ascii="Times New Roman" w:hAnsi="Times New Roman" w:hint="default"/>
        <w:b w:val="0"/>
        <w:i w:val="0"/>
        <w:sz w:val="24"/>
      </w:rPr>
    </w:lvl>
    <w:lvl w:ilvl="1" w:tplc="233ABEF0">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681199D"/>
    <w:multiLevelType w:val="hybridMultilevel"/>
    <w:tmpl w:val="BDB8C762"/>
    <w:lvl w:ilvl="0" w:tplc="18E2F75C">
      <w:start w:val="1"/>
      <w:numFmt w:val="lowerRoman"/>
      <w:pStyle w:val="Style1"/>
      <w:lvlText w:val="(%1)"/>
      <w:lvlJc w:val="left"/>
      <w:pPr>
        <w:tabs>
          <w:tab w:val="num" w:pos="1287"/>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0B3439"/>
    <w:multiLevelType w:val="multilevel"/>
    <w:tmpl w:val="1E8ADF78"/>
    <w:lvl w:ilvl="0">
      <w:start w:val="1"/>
      <w:numFmt w:val="lowerLetter"/>
      <w:lvlRestart w:val="0"/>
      <w:pStyle w:val="AlphaLevel4"/>
      <w:lvlText w:val="%1)"/>
      <w:lvlJc w:val="left"/>
      <w:pPr>
        <w:tabs>
          <w:tab w:val="num" w:pos="1134"/>
        </w:tabs>
        <w:ind w:left="1134"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nsid w:val="17DB61FD"/>
    <w:multiLevelType w:val="hybridMultilevel"/>
    <w:tmpl w:val="4268E350"/>
    <w:lvl w:ilvl="0" w:tplc="0458F630">
      <w:start w:val="1"/>
      <w:numFmt w:val="decimal"/>
      <w:pStyle w:val="CAR-Flush-Number"/>
      <w:lvlText w:val="%1."/>
      <w:lvlJc w:val="left"/>
      <w:pPr>
        <w:tabs>
          <w:tab w:val="num" w:pos="1843"/>
        </w:tabs>
        <w:ind w:left="1843" w:hanging="567"/>
      </w:pPr>
      <w:rPr>
        <w:rFonts w:ascii="Book Antiqua" w:hAnsi="Book Antiqua" w:hint="default"/>
        <w:b w:val="0"/>
        <w:i w:val="0"/>
        <w:sz w:val="20"/>
      </w:r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8">
    <w:nsid w:val="19C960FD"/>
    <w:multiLevelType w:val="multilevel"/>
    <w:tmpl w:val="352C57DA"/>
    <w:name w:val="OneLevelNumberedParagraphList"/>
    <w:lvl w:ilvl="0">
      <w:start w:val="1"/>
      <w:numFmt w:val="decimal"/>
      <w:lvlRestart w:val="0"/>
      <w:pStyle w:val="TOC4"/>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nsid w:val="19DB21A8"/>
    <w:multiLevelType w:val="hybridMultilevel"/>
    <w:tmpl w:val="E47C09D0"/>
    <w:lvl w:ilvl="0" w:tplc="3AC635DA">
      <w:start w:val="2"/>
      <w:numFmt w:val="decimal"/>
      <w:lvlText w:val="%1."/>
      <w:lvlJc w:val="left"/>
      <w:pPr>
        <w:ind w:left="180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1B63AC"/>
    <w:multiLevelType w:val="hybridMultilevel"/>
    <w:tmpl w:val="F6E07A86"/>
    <w:lvl w:ilvl="0" w:tplc="522828D8">
      <w:start w:val="1"/>
      <w:numFmt w:val="lowerLetter"/>
      <w:lvlText w:val="(%1)"/>
      <w:lvlJc w:val="left"/>
      <w:pPr>
        <w:ind w:left="1080"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B201FD"/>
    <w:multiLevelType w:val="hybridMultilevel"/>
    <w:tmpl w:val="BF84A42C"/>
    <w:lvl w:ilvl="0" w:tplc="98F6BCD2">
      <w:start w:val="3"/>
      <w:numFmt w:val="lowerLetter"/>
      <w:lvlText w:val="(%1)"/>
      <w:lvlJc w:val="left"/>
      <w:pPr>
        <w:ind w:left="1571" w:hanging="720"/>
      </w:pPr>
      <w:rPr>
        <w:rFonts w:ascii="Times New Roman" w:hAnsi="Times New Roman" w:hint="default"/>
        <w:b w:val="0"/>
        <w:i w:val="0"/>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1DD07003"/>
    <w:multiLevelType w:val="hybridMultilevel"/>
    <w:tmpl w:val="9FC0064E"/>
    <w:lvl w:ilvl="0" w:tplc="5FC0B5BC">
      <w:start w:val="1"/>
      <w:numFmt w:val="lowerLetter"/>
      <w:pStyle w:val="CAR-Flush-Alpha-Lower"/>
      <w:lvlText w:val="(%1)"/>
      <w:lvlJc w:val="left"/>
      <w:pPr>
        <w:tabs>
          <w:tab w:val="num" w:pos="567"/>
        </w:tabs>
        <w:ind w:left="567"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7461D2"/>
    <w:multiLevelType w:val="hybridMultilevel"/>
    <w:tmpl w:val="050612EE"/>
    <w:lvl w:ilvl="0" w:tplc="68028768">
      <w:start w:val="1"/>
      <w:numFmt w:val="decimal"/>
      <w:pStyle w:val="NumLarge-1"/>
      <w:lvlText w:val="%1."/>
      <w:lvlJc w:val="left"/>
      <w:pPr>
        <w:tabs>
          <w:tab w:val="num" w:pos="709"/>
        </w:tabs>
        <w:ind w:left="709"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616E05"/>
    <w:multiLevelType w:val="singleLevel"/>
    <w:tmpl w:val="5A7221F2"/>
    <w:name w:val="StandardNumberedParagraphList"/>
    <w:lvl w:ilvl="0">
      <w:start w:val="2"/>
      <w:numFmt w:val="decimal"/>
      <w:lvlText w:val="%1."/>
      <w:lvlJc w:val="left"/>
      <w:pPr>
        <w:tabs>
          <w:tab w:val="num" w:pos="567"/>
        </w:tabs>
        <w:ind w:left="0" w:firstLine="0"/>
      </w:pPr>
    </w:lvl>
  </w:abstractNum>
  <w:abstractNum w:abstractNumId="15">
    <w:nsid w:val="244237C5"/>
    <w:multiLevelType w:val="multilevel"/>
    <w:tmpl w:val="F0BE3518"/>
    <w:name w:val="StandardNumberedList"/>
    <w:lvl w:ilvl="0">
      <w:start w:val="1"/>
      <w:numFmt w:val="decimal"/>
      <w:lvlRestart w:val="0"/>
      <w:pStyle w:val="DoubleDot"/>
      <w:lvlText w:val="%1."/>
      <w:lvlJc w:val="left"/>
      <w:pPr>
        <w:tabs>
          <w:tab w:val="num" w:pos="567"/>
        </w:tabs>
        <w:ind w:left="567" w:hanging="567"/>
      </w:pPr>
      <w:rPr>
        <w:b w:val="0"/>
        <w:i w:val="0"/>
      </w:rPr>
    </w:lvl>
    <w:lvl w:ilvl="1">
      <w:start w:val="1"/>
      <w:numFmt w:val="decimal"/>
      <w:pStyle w:val="OutlineNumbered1"/>
      <w:lvlText w:val="%1.%2."/>
      <w:lvlJc w:val="left"/>
      <w:pPr>
        <w:tabs>
          <w:tab w:val="num" w:pos="1134"/>
        </w:tabs>
        <w:ind w:left="1134" w:hanging="567"/>
      </w:pPr>
      <w:rPr>
        <w:b w:val="0"/>
        <w:i w:val="0"/>
      </w:rPr>
    </w:lvl>
    <w:lvl w:ilvl="2">
      <w:start w:val="1"/>
      <w:numFmt w:val="decimal"/>
      <w:pStyle w:val="OutlineNumbered2"/>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nsid w:val="249762F8"/>
    <w:multiLevelType w:val="hybridMultilevel"/>
    <w:tmpl w:val="37146CDA"/>
    <w:lvl w:ilvl="0" w:tplc="92402CD6">
      <w:start w:val="1"/>
      <w:numFmt w:val="lowerRoman"/>
      <w:pStyle w:val="CAR-Indent-Roman-2"/>
      <w:lvlText w:val="(%1)"/>
      <w:lvlJc w:val="left"/>
      <w:pPr>
        <w:tabs>
          <w:tab w:val="num" w:pos="2138"/>
        </w:tabs>
        <w:ind w:left="1843" w:hanging="425"/>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8E67AC"/>
    <w:multiLevelType w:val="hybridMultilevel"/>
    <w:tmpl w:val="28BAB42E"/>
    <w:lvl w:ilvl="0" w:tplc="B18A7B94">
      <w:start w:val="1"/>
      <w:numFmt w:val="lowerRoman"/>
      <w:pStyle w:val="NumSmall-3"/>
      <w:lvlText w:val="(%1)"/>
      <w:lvlJc w:val="left"/>
      <w:pPr>
        <w:tabs>
          <w:tab w:val="num" w:pos="2127"/>
        </w:tabs>
        <w:ind w:left="2127" w:hanging="709"/>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440C8B"/>
    <w:multiLevelType w:val="multilevel"/>
    <w:tmpl w:val="4440A37E"/>
    <w:name w:val="StandardBulletedList"/>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Bullet"/>
      <w:lvlText w:val="–"/>
      <w:lvlJc w:val="left"/>
      <w:pPr>
        <w:tabs>
          <w:tab w:val="num" w:pos="567"/>
        </w:tabs>
        <w:ind w:left="567" w:hanging="284"/>
      </w:pPr>
      <w:rPr>
        <w:rFonts w:ascii="Times New Roman" w:hAnsi="Times New Roman" w:cs="Times New Roman"/>
        <w:b w:val="0"/>
        <w:i w:val="0"/>
      </w:rPr>
    </w:lvl>
    <w:lvl w:ilvl="2">
      <w:start w:val="1"/>
      <w:numFmt w:val="bullet"/>
      <w:pStyle w:val="Dash"/>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nsid w:val="2D4A3623"/>
    <w:multiLevelType w:val="hybridMultilevel"/>
    <w:tmpl w:val="248C5164"/>
    <w:lvl w:ilvl="0" w:tplc="63345AE4">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665DFA"/>
    <w:multiLevelType w:val="singleLevel"/>
    <w:tmpl w:val="A6CEACD8"/>
    <w:lvl w:ilvl="0">
      <w:start w:val="1"/>
      <w:numFmt w:val="lowerLetter"/>
      <w:lvlRestart w:val="0"/>
      <w:pStyle w:val="OutlineNumbered3"/>
      <w:lvlText w:val="(%1)"/>
      <w:lvlJc w:val="left"/>
      <w:pPr>
        <w:tabs>
          <w:tab w:val="num" w:pos="567"/>
        </w:tabs>
        <w:ind w:left="567" w:hanging="567"/>
      </w:pPr>
      <w:rPr>
        <w:rFonts w:ascii="Book Antiqua" w:hAnsi="Book Antiqua"/>
        <w:b w:val="0"/>
        <w:i w:val="0"/>
        <w:sz w:val="20"/>
      </w:rPr>
    </w:lvl>
  </w:abstractNum>
  <w:abstractNum w:abstractNumId="21">
    <w:nsid w:val="2EE07419"/>
    <w:multiLevelType w:val="hybridMultilevel"/>
    <w:tmpl w:val="E610A820"/>
    <w:lvl w:ilvl="0" w:tplc="490A7074">
      <w:start w:val="1"/>
      <w:numFmt w:val="upperLetter"/>
      <w:pStyle w:val="CAR-Flush-Alpha-Upper"/>
      <w:lvlText w:val="%1."/>
      <w:lvlJc w:val="left"/>
      <w:pPr>
        <w:tabs>
          <w:tab w:val="num" w:pos="567"/>
        </w:tabs>
        <w:ind w:left="567"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0A2F2A"/>
    <w:multiLevelType w:val="hybridMultilevel"/>
    <w:tmpl w:val="E468E5C6"/>
    <w:lvl w:ilvl="0" w:tplc="E3D066A8">
      <w:start w:val="1"/>
      <w:numFmt w:val="decimal"/>
      <w:pStyle w:val="CAR-Indent-Number"/>
      <w:lvlText w:val="%1."/>
      <w:lvlJc w:val="left"/>
      <w:pPr>
        <w:tabs>
          <w:tab w:val="num" w:pos="1134"/>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0DB6F3A"/>
    <w:multiLevelType w:val="hybridMultilevel"/>
    <w:tmpl w:val="CD62B8C6"/>
    <w:lvl w:ilvl="0" w:tplc="B94891DE">
      <w:start w:val="1"/>
      <w:numFmt w:val="lowerLetter"/>
      <w:lvlText w:val="(%1)"/>
      <w:lvlJc w:val="left"/>
      <w:pPr>
        <w:ind w:left="1080"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82656C"/>
    <w:multiLevelType w:val="hybridMultilevel"/>
    <w:tmpl w:val="4E3494BC"/>
    <w:lvl w:ilvl="0" w:tplc="32626696">
      <w:start w:val="1"/>
      <w:numFmt w:val="bullet"/>
      <w:pStyle w:val="CAR-Bullet-2"/>
      <w:lvlText w:val=""/>
      <w:lvlJc w:val="left"/>
      <w:pPr>
        <w:tabs>
          <w:tab w:val="num" w:pos="1494"/>
        </w:tabs>
        <w:ind w:left="1418" w:hanging="284"/>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A40BAF"/>
    <w:multiLevelType w:val="hybridMultilevel"/>
    <w:tmpl w:val="6D8E6FAE"/>
    <w:name w:val="StandardBulletedList2"/>
    <w:lvl w:ilvl="0" w:tplc="ECE23E96">
      <w:start w:val="1"/>
      <w:numFmt w:val="bullet"/>
      <w:pStyle w:val="CAR-Bullet-1"/>
      <w:lvlText w:val=""/>
      <w:lvlJc w:val="left"/>
      <w:pPr>
        <w:tabs>
          <w:tab w:val="num" w:pos="567"/>
        </w:tabs>
        <w:ind w:left="567" w:hanging="567"/>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3532A3"/>
    <w:multiLevelType w:val="hybridMultilevel"/>
    <w:tmpl w:val="41C46536"/>
    <w:lvl w:ilvl="0" w:tplc="A73AD3A6">
      <w:start w:val="1"/>
      <w:numFmt w:val="bullet"/>
      <w:pStyle w:val="CAR-Indent-Asterisk"/>
      <w:lvlText w:val="*"/>
      <w:lvlJc w:val="left"/>
      <w:pPr>
        <w:tabs>
          <w:tab w:val="num" w:pos="1134"/>
        </w:tabs>
        <w:ind w:left="1134" w:hanging="567"/>
      </w:pPr>
      <w:rPr>
        <w:rFonts w:ascii="Book Antiqua" w:hAnsi="Book Antiqua"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AE6D49"/>
    <w:multiLevelType w:val="hybridMultilevel"/>
    <w:tmpl w:val="8F785432"/>
    <w:lvl w:ilvl="0" w:tplc="90069834">
      <w:start w:val="1"/>
      <w:numFmt w:val="upperLetter"/>
      <w:lvlText w:val="(%1)"/>
      <w:lvlJc w:val="left"/>
      <w:pPr>
        <w:ind w:left="24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E806AF5"/>
    <w:multiLevelType w:val="multilevel"/>
    <w:tmpl w:val="B5561354"/>
    <w:name w:val="RomanNumeralJustified"/>
    <w:lvl w:ilvl="0">
      <w:start w:val="1"/>
      <w:numFmt w:val="lowerRoman"/>
      <w:lvlRestart w:val="0"/>
      <w:lvlText w:val="(i)"/>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nsid w:val="43AC6856"/>
    <w:multiLevelType w:val="hybridMultilevel"/>
    <w:tmpl w:val="EAF2DACA"/>
    <w:lvl w:ilvl="0" w:tplc="527E1E94">
      <w:start w:val="1"/>
      <w:numFmt w:val="lowerLetter"/>
      <w:pStyle w:val="CAR-Indent-Alpha-lower"/>
      <w:lvlText w:val="(%1)"/>
      <w:lvlJc w:val="left"/>
      <w:pPr>
        <w:tabs>
          <w:tab w:val="num" w:pos="1418"/>
        </w:tabs>
        <w:ind w:left="1418"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0E1AA5"/>
    <w:multiLevelType w:val="hybridMultilevel"/>
    <w:tmpl w:val="BCA4979E"/>
    <w:lvl w:ilvl="0" w:tplc="AA3C2B3A">
      <w:start w:val="1"/>
      <w:numFmt w:val="lowerLetter"/>
      <w:lvlText w:val="(%1)"/>
      <w:lvlJc w:val="left"/>
      <w:pPr>
        <w:ind w:left="1440" w:hanging="360"/>
      </w:pPr>
      <w:rPr>
        <w:rFonts w:ascii="Times New Roman" w:hAnsi="Times New Roman" w:hint="default"/>
        <w:b w:val="0"/>
        <w:i w:val="0"/>
        <w:sz w:val="24"/>
      </w:rPr>
    </w:lvl>
    <w:lvl w:ilvl="1" w:tplc="233ABEF0">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45662149"/>
    <w:multiLevelType w:val="multilevel"/>
    <w:tmpl w:val="CD98B952"/>
    <w:name w:val="LD_Standard"/>
    <w:lvl w:ilvl="0">
      <w:start w:val="1"/>
      <w:numFmt w:val="none"/>
      <w:pStyle w:val="LDStandard1"/>
      <w:suff w:val="nothing"/>
      <w:lvlText w:val="%1"/>
      <w:lvlJc w:val="left"/>
      <w:pPr>
        <w:ind w:left="0" w:firstLine="0"/>
      </w:pPr>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4"/>
        </w:tabs>
        <w:ind w:left="3544"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32">
    <w:nsid w:val="47A6743F"/>
    <w:multiLevelType w:val="hybridMultilevel"/>
    <w:tmpl w:val="BCF21E54"/>
    <w:lvl w:ilvl="0" w:tplc="B7EC5642">
      <w:start w:val="1"/>
      <w:numFmt w:val="lowerLetter"/>
      <w:lvlText w:val="(%1)"/>
      <w:lvlJc w:val="left"/>
      <w:pPr>
        <w:ind w:left="1080"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BD768A"/>
    <w:multiLevelType w:val="hybridMultilevel"/>
    <w:tmpl w:val="C262C1F8"/>
    <w:lvl w:ilvl="0" w:tplc="CB7CCFC4">
      <w:start w:val="1"/>
      <w:numFmt w:val="decimal"/>
      <w:pStyle w:val="Outline-6"/>
      <w:lvlText w:val="%1."/>
      <w:lvlJc w:val="left"/>
      <w:pPr>
        <w:tabs>
          <w:tab w:val="num" w:pos="851"/>
        </w:tabs>
        <w:ind w:left="851" w:hanging="426"/>
      </w:pPr>
      <w:rPr>
        <w:rFonts w:hint="default"/>
        <w:b w:val="0"/>
        <w:i w:val="0"/>
      </w:rPr>
    </w:lvl>
    <w:lvl w:ilvl="1" w:tplc="34CCF054">
      <w:start w:val="1"/>
      <w:numFmt w:val="lowerLetter"/>
      <w:lvlText w:val="(%2)"/>
      <w:lvlJc w:val="left"/>
      <w:pPr>
        <w:tabs>
          <w:tab w:val="num" w:pos="1647"/>
        </w:tabs>
        <w:ind w:left="1647" w:hanging="567"/>
      </w:pPr>
      <w:rPr>
        <w:rFonts w:ascii="Palatino" w:hAnsi="Palatino" w:hint="default"/>
        <w:b w:val="0"/>
        <w:i w:val="0"/>
        <w:sz w:val="24"/>
      </w:rPr>
    </w:lvl>
    <w:lvl w:ilvl="2" w:tplc="9852F810">
      <w:start w:val="1"/>
      <w:numFmt w:val="lowerRoman"/>
      <w:lvlText w:val="(%3)"/>
      <w:lvlJc w:val="left"/>
      <w:pPr>
        <w:tabs>
          <w:tab w:val="num" w:pos="2421"/>
        </w:tabs>
        <w:ind w:left="2126" w:hanging="425"/>
      </w:pPr>
      <w:rPr>
        <w:rFonts w:ascii="Palatino" w:hAnsi="Palatino" w:hint="default"/>
        <w:b w:val="0"/>
        <w:i w:val="0"/>
        <w:sz w:val="24"/>
      </w:rPr>
    </w:lvl>
    <w:lvl w:ilvl="3" w:tplc="E36071CA">
      <w:start w:val="1"/>
      <w:numFmt w:val="lowerLetter"/>
      <w:lvlText w:val="(%4)"/>
      <w:lvlJc w:val="left"/>
      <w:pPr>
        <w:tabs>
          <w:tab w:val="num" w:pos="3087"/>
        </w:tabs>
        <w:ind w:left="3087" w:hanging="567"/>
      </w:pPr>
      <w:rPr>
        <w:rFonts w:ascii="Palatino" w:hAnsi="Palatino" w:hint="default"/>
        <w:b w:val="0"/>
        <w:i/>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E06931"/>
    <w:multiLevelType w:val="singleLevel"/>
    <w:tmpl w:val="4366EF18"/>
    <w:name w:val="ChartTableFootnoteAlpha"/>
    <w:lvl w:ilvl="0">
      <w:start w:val="1"/>
      <w:numFmt w:val="lowerLetter"/>
      <w:lvlRestart w:val="0"/>
      <w:pStyle w:val="BoxTextBase"/>
      <w:lvlText w:val="(%1)"/>
      <w:lvlJc w:val="left"/>
      <w:pPr>
        <w:tabs>
          <w:tab w:val="num" w:pos="283"/>
        </w:tabs>
        <w:ind w:left="283" w:hanging="283"/>
      </w:pPr>
      <w:rPr>
        <w:rFonts w:ascii="Arial" w:hAnsi="Arial" w:cs="Book Antiqua" w:hint="default"/>
        <w:b w:val="0"/>
        <w:i w:val="0"/>
        <w:sz w:val="16"/>
      </w:rPr>
    </w:lvl>
  </w:abstractNum>
  <w:abstractNum w:abstractNumId="35">
    <w:nsid w:val="4E4D23A3"/>
    <w:multiLevelType w:val="hybridMultilevel"/>
    <w:tmpl w:val="A2F2A05E"/>
    <w:lvl w:ilvl="0" w:tplc="42F41B4C">
      <w:start w:val="1"/>
      <w:numFmt w:val="lowerRoman"/>
      <w:lvlText w:val="(%1)"/>
      <w:lvlJc w:val="left"/>
      <w:pPr>
        <w:ind w:left="1080" w:hanging="720"/>
      </w:pPr>
      <w:rPr>
        <w:rFonts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1560D02"/>
    <w:multiLevelType w:val="hybridMultilevel"/>
    <w:tmpl w:val="B406E3BA"/>
    <w:lvl w:ilvl="0" w:tplc="E2381D78">
      <w:start w:val="1"/>
      <w:numFmt w:val="lowerLetter"/>
      <w:pStyle w:val="AlphaLower-2"/>
      <w:lvlText w:val="(%1)"/>
      <w:lvlJc w:val="left"/>
      <w:pPr>
        <w:tabs>
          <w:tab w:val="num" w:pos="1418"/>
        </w:tabs>
        <w:ind w:left="1418" w:hanging="709"/>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690242E"/>
    <w:multiLevelType w:val="hybridMultilevel"/>
    <w:tmpl w:val="9FB4500A"/>
    <w:lvl w:ilvl="0" w:tplc="ADB69EBA">
      <w:start w:val="1"/>
      <w:numFmt w:val="upperLetter"/>
      <w:pStyle w:val="CAR-Indent-Alpha-Upper"/>
      <w:lvlText w:val="(%1)"/>
      <w:lvlJc w:val="left"/>
      <w:pPr>
        <w:tabs>
          <w:tab w:val="num" w:pos="1843"/>
        </w:tabs>
        <w:ind w:left="1843"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101827"/>
    <w:multiLevelType w:val="multilevel"/>
    <w:tmpl w:val="072C6E52"/>
    <w:name w:val="BoxBulletedList"/>
    <w:lvl w:ilvl="0">
      <w:start w:val="1"/>
      <w:numFmt w:val="bullet"/>
      <w:lvlRestart w:val="0"/>
      <w:pStyle w:val="OneLevelNumberedParagraph"/>
      <w:lvlText w:val="•"/>
      <w:lvlJc w:val="left"/>
      <w:pPr>
        <w:tabs>
          <w:tab w:val="num" w:pos="283"/>
        </w:tabs>
        <w:ind w:left="283" w:hanging="283"/>
      </w:pPr>
      <w:rPr>
        <w:rFonts w:ascii="Times New Roman" w:hAnsi="Times New Roman" w:cs="Times New Roman"/>
        <w:b w:val="0"/>
        <w:i w:val="0"/>
        <w:sz w:val="20"/>
      </w:rPr>
    </w:lvl>
    <w:lvl w:ilvl="1">
      <w:start w:val="1"/>
      <w:numFmt w:val="bullet"/>
      <w:pStyle w:val="BoxBullet"/>
      <w:lvlText w:val="–"/>
      <w:lvlJc w:val="left"/>
      <w:pPr>
        <w:tabs>
          <w:tab w:val="num" w:pos="567"/>
        </w:tabs>
        <w:ind w:left="567" w:hanging="284"/>
      </w:pPr>
      <w:rPr>
        <w:b w:val="0"/>
        <w:i w:val="0"/>
      </w:rPr>
    </w:lvl>
    <w:lvl w:ilvl="2">
      <w:start w:val="1"/>
      <w:numFmt w:val="bullet"/>
      <w:pStyle w:val="BoxDash"/>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nsid w:val="5E0A6F8D"/>
    <w:multiLevelType w:val="multilevel"/>
    <w:tmpl w:val="51941ED6"/>
    <w:name w:val="RecommendationBulletedList"/>
    <w:lvl w:ilvl="0">
      <w:start w:val="1"/>
      <w:numFmt w:val="bullet"/>
      <w:lvlRestart w:val="0"/>
      <w:pStyle w:val="BoxDoubleDot"/>
      <w:lvlText w:val="•"/>
      <w:lvlJc w:val="left"/>
      <w:pPr>
        <w:tabs>
          <w:tab w:val="num" w:pos="283"/>
        </w:tabs>
        <w:ind w:left="283" w:hanging="283"/>
      </w:pPr>
      <w:rPr>
        <w:b w:val="0"/>
        <w:i w:val="0"/>
      </w:rPr>
    </w:lvl>
    <w:lvl w:ilvl="1">
      <w:start w:val="1"/>
      <w:numFmt w:val="bullet"/>
      <w:pStyle w:val="RecommendationBullet"/>
      <w:lvlText w:val="–"/>
      <w:lvlJc w:val="left"/>
      <w:pPr>
        <w:tabs>
          <w:tab w:val="num" w:pos="567"/>
        </w:tabs>
        <w:ind w:left="567" w:hanging="284"/>
      </w:pPr>
      <w:rPr>
        <w:b w:val="0"/>
        <w:i w:val="0"/>
      </w:rPr>
    </w:lvl>
    <w:lvl w:ilvl="2">
      <w:start w:val="1"/>
      <w:numFmt w:val="bullet"/>
      <w:pStyle w:val="RecommendationDash"/>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0">
    <w:nsid w:val="648B7CC4"/>
    <w:multiLevelType w:val="hybridMultilevel"/>
    <w:tmpl w:val="A07C4D50"/>
    <w:lvl w:ilvl="0" w:tplc="05388632">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7B14D4A"/>
    <w:multiLevelType w:val="hybridMultilevel"/>
    <w:tmpl w:val="59AA65DE"/>
    <w:lvl w:ilvl="0" w:tplc="4F062FFA">
      <w:start w:val="1"/>
      <w:numFmt w:val="lowerLetter"/>
      <w:lvlRestart w:val="0"/>
      <w:pStyle w:val="CAR-Indent-Alpha-Lower0"/>
      <w:lvlText w:val="%1)"/>
      <w:lvlJc w:val="left"/>
      <w:pPr>
        <w:tabs>
          <w:tab w:val="num" w:pos="1134"/>
        </w:tabs>
        <w:ind w:left="1134" w:hanging="567"/>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200A30"/>
    <w:multiLevelType w:val="multilevel"/>
    <w:tmpl w:val="33CA5444"/>
    <w:name w:val="AlphaLevel3List"/>
    <w:lvl w:ilvl="0">
      <w:start w:val="1"/>
      <w:numFmt w:val="upperLetter"/>
      <w:lvlRestart w:val="0"/>
      <w:pStyle w:val="AlphaLevel3"/>
      <w:lvlText w:val="(%1)"/>
      <w:lvlJc w:val="left"/>
      <w:pPr>
        <w:tabs>
          <w:tab w:val="num" w:pos="1701"/>
        </w:tabs>
        <w:ind w:left="1701"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3">
    <w:nsid w:val="6FA55AE3"/>
    <w:multiLevelType w:val="multilevel"/>
    <w:tmpl w:val="D0B4FF78"/>
    <w:name w:val="OneLevelNumberedJustified"/>
    <w:lvl w:ilvl="0">
      <w:start w:val="1"/>
      <w:numFmt w:val="decimal"/>
      <w:lvlRestart w:val="0"/>
      <w:pStyle w:val="Normalnumbered"/>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4">
    <w:nsid w:val="71470BE0"/>
    <w:multiLevelType w:val="hybridMultilevel"/>
    <w:tmpl w:val="7DF0D706"/>
    <w:lvl w:ilvl="0" w:tplc="C0AC0C1E">
      <w:start w:val="1"/>
      <w:numFmt w:val="lowerLetter"/>
      <w:pStyle w:val="AlphaLower-2-Bold"/>
      <w:lvlText w:val="(%1)"/>
      <w:lvlJc w:val="left"/>
      <w:pPr>
        <w:tabs>
          <w:tab w:val="num" w:pos="1418"/>
        </w:tabs>
        <w:ind w:left="1418" w:hanging="709"/>
      </w:pPr>
      <w:rPr>
        <w:rFonts w:ascii="Palatino" w:hAnsi="Palatino"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4E4DA4"/>
    <w:multiLevelType w:val="multilevel"/>
    <w:tmpl w:val="23CA7F1E"/>
    <w:lvl w:ilvl="0">
      <w:start w:val="1"/>
      <w:numFmt w:val="decimal"/>
      <w:pStyle w:val="Outline-1"/>
      <w:lvlText w:val="%1."/>
      <w:lvlJc w:val="left"/>
      <w:pPr>
        <w:tabs>
          <w:tab w:val="num" w:pos="425"/>
        </w:tabs>
        <w:ind w:left="425" w:hanging="425"/>
      </w:pPr>
      <w:rPr>
        <w:rFonts w:ascii="Palatino" w:hAnsi="Palatino" w:hint="default"/>
        <w:b w:val="0"/>
        <w:i w:val="0"/>
        <w:sz w:val="24"/>
      </w:rPr>
    </w:lvl>
    <w:lvl w:ilvl="1">
      <w:start w:val="1"/>
      <w:numFmt w:val="lowerLetter"/>
      <w:lvlText w:val="(%2)"/>
      <w:lvlJc w:val="left"/>
      <w:pPr>
        <w:tabs>
          <w:tab w:val="num" w:pos="360"/>
        </w:tabs>
        <w:ind w:left="360" w:hanging="360"/>
      </w:pPr>
      <w:rPr>
        <w:rFonts w:ascii="Palatino" w:hAnsi="Palatino" w:hint="default"/>
        <w:b w:val="0"/>
        <w:i w:val="0"/>
        <w:sz w:val="24"/>
      </w:rPr>
    </w:lvl>
    <w:lvl w:ilvl="2">
      <w:start w:val="1"/>
      <w:numFmt w:val="lowerLetter"/>
      <w:lvlText w:val="(%3)"/>
      <w:lvlJc w:val="left"/>
      <w:pPr>
        <w:tabs>
          <w:tab w:val="num" w:pos="567"/>
        </w:tabs>
        <w:ind w:left="567" w:hanging="567"/>
      </w:pPr>
      <w:rPr>
        <w:rFonts w:ascii="Palatino" w:hAnsi="Palatino" w:hint="default"/>
        <w:b w:val="0"/>
        <w:i w:val="0"/>
        <w:sz w:val="24"/>
      </w:rPr>
    </w:lvl>
    <w:lvl w:ilvl="3">
      <w:start w:val="1"/>
      <w:numFmt w:val="lowerRoman"/>
      <w:lvlText w:val="(%4)"/>
      <w:lvlJc w:val="left"/>
      <w:pPr>
        <w:tabs>
          <w:tab w:val="num" w:pos="2705"/>
        </w:tabs>
        <w:ind w:left="2552" w:hanging="567"/>
      </w:pPr>
      <w:rPr>
        <w:rFonts w:ascii="Palatino" w:hAnsi="Palatino" w:hint="default"/>
        <w:b w:val="0"/>
        <w:i w:val="0"/>
        <w:sz w:val="24"/>
      </w:rPr>
    </w:lvl>
    <w:lvl w:ilvl="4">
      <w:start w:val="1"/>
      <w:numFmt w:val="upperLetter"/>
      <w:lvlText w:val="(%5)"/>
      <w:lvlJc w:val="left"/>
      <w:pPr>
        <w:tabs>
          <w:tab w:val="num" w:pos="3232"/>
        </w:tabs>
        <w:ind w:left="3232" w:hanging="510"/>
      </w:pPr>
      <w:rPr>
        <w:rFonts w:hint="default"/>
      </w:rPr>
    </w:lvl>
    <w:lvl w:ilvl="5">
      <w:start w:val="1"/>
      <w:numFmt w:val="lowerLetter"/>
      <w:lvlText w:val="(%6)"/>
      <w:lvlJc w:val="left"/>
      <w:pPr>
        <w:tabs>
          <w:tab w:val="num" w:pos="3903"/>
        </w:tabs>
        <w:ind w:left="3543" w:firstLine="0"/>
      </w:pPr>
      <w:rPr>
        <w:rFonts w:hint="default"/>
      </w:rPr>
    </w:lvl>
    <w:lvl w:ilvl="6">
      <w:start w:val="1"/>
      <w:numFmt w:val="lowerRoman"/>
      <w:lvlText w:val="(%7)"/>
      <w:lvlJc w:val="left"/>
      <w:pPr>
        <w:tabs>
          <w:tab w:val="num" w:pos="4623"/>
        </w:tabs>
        <w:ind w:left="4263" w:firstLine="0"/>
      </w:pPr>
      <w:rPr>
        <w:rFonts w:hint="default"/>
      </w:rPr>
    </w:lvl>
    <w:lvl w:ilvl="7">
      <w:start w:val="1"/>
      <w:numFmt w:val="lowerLetter"/>
      <w:lvlText w:val="(%8)"/>
      <w:lvlJc w:val="left"/>
      <w:pPr>
        <w:tabs>
          <w:tab w:val="num" w:pos="5343"/>
        </w:tabs>
        <w:ind w:left="4983" w:firstLine="0"/>
      </w:pPr>
      <w:rPr>
        <w:rFonts w:hint="default"/>
      </w:rPr>
    </w:lvl>
    <w:lvl w:ilvl="8">
      <w:start w:val="1"/>
      <w:numFmt w:val="lowerRoman"/>
      <w:lvlText w:val="(%9)"/>
      <w:lvlJc w:val="left"/>
      <w:pPr>
        <w:tabs>
          <w:tab w:val="num" w:pos="6063"/>
        </w:tabs>
        <w:ind w:left="5703" w:firstLine="0"/>
      </w:pPr>
      <w:rPr>
        <w:rFonts w:hint="default"/>
      </w:rPr>
    </w:lvl>
  </w:abstractNum>
  <w:abstractNum w:abstractNumId="46">
    <w:nsid w:val="76C9475B"/>
    <w:multiLevelType w:val="hybridMultilevel"/>
    <w:tmpl w:val="4014C4A4"/>
    <w:lvl w:ilvl="0" w:tplc="93A48A44">
      <w:start w:val="1"/>
      <w:numFmt w:val="lowerRoman"/>
      <w:lvlText w:val="(%1)"/>
      <w:lvlJc w:val="left"/>
      <w:pPr>
        <w:ind w:left="185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565B9"/>
    <w:multiLevelType w:val="multilevel"/>
    <w:tmpl w:val="88C8E50A"/>
    <w:lvl w:ilvl="0">
      <w:start w:val="1"/>
      <w:numFmt w:val="lowerRoman"/>
      <w:lvlRestart w:val="0"/>
      <w:pStyle w:val="Romannumeral"/>
      <w:lvlText w:val="(%1)"/>
      <w:lvlJc w:val="left"/>
      <w:pPr>
        <w:tabs>
          <w:tab w:val="num" w:pos="1134"/>
        </w:tabs>
        <w:ind w:left="1134"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8">
    <w:nsid w:val="7F455FBF"/>
    <w:multiLevelType w:val="hybridMultilevel"/>
    <w:tmpl w:val="7D88533A"/>
    <w:lvl w:ilvl="0" w:tplc="449C61C6">
      <w:start w:val="1"/>
      <w:numFmt w:val="lowerRoman"/>
      <w:pStyle w:val="CAR-Indent-Roman-1"/>
      <w:lvlText w:val="(%1)"/>
      <w:lvlJc w:val="left"/>
      <w:pPr>
        <w:tabs>
          <w:tab w:val="num" w:pos="1276"/>
        </w:tabs>
        <w:ind w:left="1276" w:hanging="709"/>
      </w:pPr>
      <w:rPr>
        <w:rFonts w:ascii="Book Antiqua" w:hAnsi="Book Antiqu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5005DB"/>
    <w:multiLevelType w:val="hybridMultilevel"/>
    <w:tmpl w:val="A3D4759E"/>
    <w:lvl w:ilvl="0" w:tplc="A23A0F02">
      <w:start w:val="1"/>
      <w:numFmt w:val="lowerLetter"/>
      <w:lvlText w:val="(%1)"/>
      <w:lvlJc w:val="left"/>
      <w:pPr>
        <w:ind w:left="1080"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33"/>
  </w:num>
  <w:num w:numId="3">
    <w:abstractNumId w:val="18"/>
  </w:num>
  <w:num w:numId="4">
    <w:abstractNumId w:val="15"/>
  </w:num>
  <w:num w:numId="5">
    <w:abstractNumId w:val="20"/>
  </w:num>
  <w:num w:numId="6">
    <w:abstractNumId w:val="34"/>
  </w:num>
  <w:num w:numId="7">
    <w:abstractNumId w:val="38"/>
  </w:num>
  <w:num w:numId="8">
    <w:abstractNumId w:val="8"/>
  </w:num>
  <w:num w:numId="9">
    <w:abstractNumId w:val="39"/>
  </w:num>
  <w:num w:numId="10">
    <w:abstractNumId w:val="47"/>
  </w:num>
  <w:num w:numId="11">
    <w:abstractNumId w:val="42"/>
  </w:num>
  <w:num w:numId="12">
    <w:abstractNumId w:val="6"/>
  </w:num>
  <w:num w:numId="13">
    <w:abstractNumId w:val="43"/>
  </w:num>
  <w:num w:numId="14">
    <w:abstractNumId w:val="37"/>
  </w:num>
  <w:num w:numId="15">
    <w:abstractNumId w:val="5"/>
  </w:num>
  <w:num w:numId="16">
    <w:abstractNumId w:val="41"/>
  </w:num>
  <w:num w:numId="17">
    <w:abstractNumId w:val="22"/>
  </w:num>
  <w:num w:numId="18">
    <w:abstractNumId w:val="25"/>
  </w:num>
  <w:num w:numId="19">
    <w:abstractNumId w:val="12"/>
  </w:num>
  <w:num w:numId="20">
    <w:abstractNumId w:val="48"/>
  </w:num>
  <w:num w:numId="21">
    <w:abstractNumId w:val="21"/>
  </w:num>
  <w:num w:numId="22">
    <w:abstractNumId w:val="7"/>
  </w:num>
  <w:num w:numId="23">
    <w:abstractNumId w:val="31"/>
  </w:num>
  <w:num w:numId="24">
    <w:abstractNumId w:val="36"/>
  </w:num>
  <w:num w:numId="25">
    <w:abstractNumId w:val="13"/>
  </w:num>
  <w:num w:numId="26">
    <w:abstractNumId w:val="17"/>
  </w:num>
  <w:num w:numId="27">
    <w:abstractNumId w:val="26"/>
  </w:num>
  <w:num w:numId="28">
    <w:abstractNumId w:val="24"/>
  </w:num>
  <w:num w:numId="29">
    <w:abstractNumId w:val="29"/>
  </w:num>
  <w:num w:numId="30">
    <w:abstractNumId w:val="16"/>
  </w:num>
  <w:num w:numId="31">
    <w:abstractNumId w:val="0"/>
  </w:num>
  <w:num w:numId="32">
    <w:abstractNumId w:val="44"/>
  </w:num>
  <w:num w:numId="33">
    <w:abstractNumId w:val="1"/>
  </w:num>
  <w:num w:numId="34">
    <w:abstractNumId w:val="30"/>
  </w:num>
  <w:num w:numId="35">
    <w:abstractNumId w:val="4"/>
  </w:num>
  <w:num w:numId="36">
    <w:abstractNumId w:val="3"/>
  </w:num>
  <w:num w:numId="37">
    <w:abstractNumId w:val="2"/>
  </w:num>
  <w:num w:numId="38">
    <w:abstractNumId w:val="32"/>
  </w:num>
  <w:num w:numId="39">
    <w:abstractNumId w:val="9"/>
  </w:num>
  <w:num w:numId="40">
    <w:abstractNumId w:val="10"/>
  </w:num>
  <w:num w:numId="41">
    <w:abstractNumId w:val="19"/>
  </w:num>
  <w:num w:numId="42">
    <w:abstractNumId w:val="35"/>
  </w:num>
  <w:num w:numId="43">
    <w:abstractNumId w:val="23"/>
  </w:num>
  <w:num w:numId="44">
    <w:abstractNumId w:val="40"/>
  </w:num>
  <w:num w:numId="45">
    <w:abstractNumId w:val="27"/>
  </w:num>
  <w:num w:numId="46">
    <w:abstractNumId w:val="46"/>
  </w:num>
  <w:num w:numId="47">
    <w:abstractNumId w:val="49"/>
  </w:num>
  <w:num w:numId="4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9"/>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BA"/>
    <w:rsid w:val="00000B2E"/>
    <w:rsid w:val="00001123"/>
    <w:rsid w:val="00002FDF"/>
    <w:rsid w:val="000036AA"/>
    <w:rsid w:val="0000696C"/>
    <w:rsid w:val="000109CA"/>
    <w:rsid w:val="000131D7"/>
    <w:rsid w:val="000134B9"/>
    <w:rsid w:val="00013630"/>
    <w:rsid w:val="00016636"/>
    <w:rsid w:val="00021666"/>
    <w:rsid w:val="00024185"/>
    <w:rsid w:val="000246D6"/>
    <w:rsid w:val="00027F54"/>
    <w:rsid w:val="000330AA"/>
    <w:rsid w:val="00035964"/>
    <w:rsid w:val="0004049D"/>
    <w:rsid w:val="00040590"/>
    <w:rsid w:val="00040CC6"/>
    <w:rsid w:val="000413D8"/>
    <w:rsid w:val="00041917"/>
    <w:rsid w:val="00043E44"/>
    <w:rsid w:val="000450D9"/>
    <w:rsid w:val="000450F5"/>
    <w:rsid w:val="00047E4F"/>
    <w:rsid w:val="00051C7B"/>
    <w:rsid w:val="00052038"/>
    <w:rsid w:val="0005370D"/>
    <w:rsid w:val="000562BC"/>
    <w:rsid w:val="00057BB7"/>
    <w:rsid w:val="00057ED9"/>
    <w:rsid w:val="00060B27"/>
    <w:rsid w:val="00061777"/>
    <w:rsid w:val="00061F4D"/>
    <w:rsid w:val="00064D4B"/>
    <w:rsid w:val="00067BAD"/>
    <w:rsid w:val="0007183D"/>
    <w:rsid w:val="000726AB"/>
    <w:rsid w:val="00074672"/>
    <w:rsid w:val="00076E33"/>
    <w:rsid w:val="00077FE6"/>
    <w:rsid w:val="000879AE"/>
    <w:rsid w:val="00090203"/>
    <w:rsid w:val="00091CBC"/>
    <w:rsid w:val="00096908"/>
    <w:rsid w:val="000A12BC"/>
    <w:rsid w:val="000A36BF"/>
    <w:rsid w:val="000B0314"/>
    <w:rsid w:val="000B1EB1"/>
    <w:rsid w:val="000B24C5"/>
    <w:rsid w:val="000B3661"/>
    <w:rsid w:val="000B54B2"/>
    <w:rsid w:val="000B6779"/>
    <w:rsid w:val="000C1CEC"/>
    <w:rsid w:val="000C2D54"/>
    <w:rsid w:val="000C594A"/>
    <w:rsid w:val="000C5D05"/>
    <w:rsid w:val="000D3A79"/>
    <w:rsid w:val="000D4332"/>
    <w:rsid w:val="000D7AA4"/>
    <w:rsid w:val="000E175C"/>
    <w:rsid w:val="000E4AD5"/>
    <w:rsid w:val="000F0047"/>
    <w:rsid w:val="000F1DBA"/>
    <w:rsid w:val="000F687C"/>
    <w:rsid w:val="000F7863"/>
    <w:rsid w:val="00103438"/>
    <w:rsid w:val="00107688"/>
    <w:rsid w:val="001129F5"/>
    <w:rsid w:val="001136FB"/>
    <w:rsid w:val="00117BC1"/>
    <w:rsid w:val="00124F76"/>
    <w:rsid w:val="00130704"/>
    <w:rsid w:val="00133F19"/>
    <w:rsid w:val="00133F6D"/>
    <w:rsid w:val="001361E1"/>
    <w:rsid w:val="00136A06"/>
    <w:rsid w:val="00140CD5"/>
    <w:rsid w:val="001411AB"/>
    <w:rsid w:val="001432B3"/>
    <w:rsid w:val="00144B66"/>
    <w:rsid w:val="001471F0"/>
    <w:rsid w:val="0015015A"/>
    <w:rsid w:val="001506B0"/>
    <w:rsid w:val="00155EBA"/>
    <w:rsid w:val="001569C6"/>
    <w:rsid w:val="0016079A"/>
    <w:rsid w:val="00161168"/>
    <w:rsid w:val="001673E9"/>
    <w:rsid w:val="00172C18"/>
    <w:rsid w:val="00175F27"/>
    <w:rsid w:val="001765B3"/>
    <w:rsid w:val="00183121"/>
    <w:rsid w:val="0018678A"/>
    <w:rsid w:val="00190511"/>
    <w:rsid w:val="00190D02"/>
    <w:rsid w:val="00191294"/>
    <w:rsid w:val="00191AA3"/>
    <w:rsid w:val="001929F7"/>
    <w:rsid w:val="00192B36"/>
    <w:rsid w:val="00193021"/>
    <w:rsid w:val="00193CDA"/>
    <w:rsid w:val="00193E47"/>
    <w:rsid w:val="00197BC1"/>
    <w:rsid w:val="001A0F91"/>
    <w:rsid w:val="001A2F6A"/>
    <w:rsid w:val="001A42D4"/>
    <w:rsid w:val="001B05C8"/>
    <w:rsid w:val="001B110C"/>
    <w:rsid w:val="001B17DC"/>
    <w:rsid w:val="001C1552"/>
    <w:rsid w:val="001D33F9"/>
    <w:rsid w:val="001D36EC"/>
    <w:rsid w:val="001D568D"/>
    <w:rsid w:val="001E10E3"/>
    <w:rsid w:val="001E2E8A"/>
    <w:rsid w:val="001E3ABF"/>
    <w:rsid w:val="001E3FA8"/>
    <w:rsid w:val="001E5943"/>
    <w:rsid w:val="001E7CA5"/>
    <w:rsid w:val="001F11A4"/>
    <w:rsid w:val="001F4BFB"/>
    <w:rsid w:val="00201243"/>
    <w:rsid w:val="0020462D"/>
    <w:rsid w:val="002052A0"/>
    <w:rsid w:val="00206F31"/>
    <w:rsid w:val="0021063B"/>
    <w:rsid w:val="002108E1"/>
    <w:rsid w:val="0021199D"/>
    <w:rsid w:val="00212A0D"/>
    <w:rsid w:val="0021664D"/>
    <w:rsid w:val="002179B2"/>
    <w:rsid w:val="002215EA"/>
    <w:rsid w:val="00222560"/>
    <w:rsid w:val="00224F79"/>
    <w:rsid w:val="00232AB6"/>
    <w:rsid w:val="00234290"/>
    <w:rsid w:val="002363D2"/>
    <w:rsid w:val="00236BB5"/>
    <w:rsid w:val="0023751A"/>
    <w:rsid w:val="002439FB"/>
    <w:rsid w:val="00247E4B"/>
    <w:rsid w:val="002524C7"/>
    <w:rsid w:val="002552F4"/>
    <w:rsid w:val="002630E0"/>
    <w:rsid w:val="00266D5E"/>
    <w:rsid w:val="00271B26"/>
    <w:rsid w:val="002843B9"/>
    <w:rsid w:val="00287282"/>
    <w:rsid w:val="0029204B"/>
    <w:rsid w:val="0029395F"/>
    <w:rsid w:val="00296CEF"/>
    <w:rsid w:val="002A39A7"/>
    <w:rsid w:val="002A5CD4"/>
    <w:rsid w:val="002A5F2A"/>
    <w:rsid w:val="002B2659"/>
    <w:rsid w:val="002B355B"/>
    <w:rsid w:val="002B3DA7"/>
    <w:rsid w:val="002B4F3B"/>
    <w:rsid w:val="002B6DF2"/>
    <w:rsid w:val="002C1207"/>
    <w:rsid w:val="002C444D"/>
    <w:rsid w:val="002C5507"/>
    <w:rsid w:val="002C5F57"/>
    <w:rsid w:val="002C7CDC"/>
    <w:rsid w:val="002D2CEB"/>
    <w:rsid w:val="002D4176"/>
    <w:rsid w:val="002D487E"/>
    <w:rsid w:val="002D49FE"/>
    <w:rsid w:val="002D6BDD"/>
    <w:rsid w:val="002E00B3"/>
    <w:rsid w:val="002E0861"/>
    <w:rsid w:val="002E0DCD"/>
    <w:rsid w:val="002E29C4"/>
    <w:rsid w:val="002E303D"/>
    <w:rsid w:val="002E3FC6"/>
    <w:rsid w:val="002E477B"/>
    <w:rsid w:val="002E7EAB"/>
    <w:rsid w:val="002F0497"/>
    <w:rsid w:val="002F1AA3"/>
    <w:rsid w:val="00303BCD"/>
    <w:rsid w:val="003052F6"/>
    <w:rsid w:val="00305B0A"/>
    <w:rsid w:val="00306620"/>
    <w:rsid w:val="00306ECE"/>
    <w:rsid w:val="00306FBA"/>
    <w:rsid w:val="00314EB0"/>
    <w:rsid w:val="00317C0C"/>
    <w:rsid w:val="00317C94"/>
    <w:rsid w:val="00321D56"/>
    <w:rsid w:val="003225B1"/>
    <w:rsid w:val="00322ACA"/>
    <w:rsid w:val="00323677"/>
    <w:rsid w:val="00324C74"/>
    <w:rsid w:val="003257DB"/>
    <w:rsid w:val="00330EA8"/>
    <w:rsid w:val="00330F7D"/>
    <w:rsid w:val="00333F35"/>
    <w:rsid w:val="0033461D"/>
    <w:rsid w:val="00340341"/>
    <w:rsid w:val="0034043E"/>
    <w:rsid w:val="0034082C"/>
    <w:rsid w:val="00351BD7"/>
    <w:rsid w:val="00354D42"/>
    <w:rsid w:val="00356057"/>
    <w:rsid w:val="00360175"/>
    <w:rsid w:val="00364DC8"/>
    <w:rsid w:val="00366032"/>
    <w:rsid w:val="00366DC9"/>
    <w:rsid w:val="00371F1D"/>
    <w:rsid w:val="003733F6"/>
    <w:rsid w:val="0037686D"/>
    <w:rsid w:val="00376D66"/>
    <w:rsid w:val="003772A0"/>
    <w:rsid w:val="00380C6D"/>
    <w:rsid w:val="00381FB0"/>
    <w:rsid w:val="0038305D"/>
    <w:rsid w:val="003842B9"/>
    <w:rsid w:val="003857B2"/>
    <w:rsid w:val="00386C1B"/>
    <w:rsid w:val="00387847"/>
    <w:rsid w:val="00387D27"/>
    <w:rsid w:val="003907F1"/>
    <w:rsid w:val="00390D2C"/>
    <w:rsid w:val="00391A57"/>
    <w:rsid w:val="0039258B"/>
    <w:rsid w:val="00395DE3"/>
    <w:rsid w:val="003A1C05"/>
    <w:rsid w:val="003A7F46"/>
    <w:rsid w:val="003B21B5"/>
    <w:rsid w:val="003B5496"/>
    <w:rsid w:val="003B554F"/>
    <w:rsid w:val="003C0591"/>
    <w:rsid w:val="003C44C4"/>
    <w:rsid w:val="003D11F5"/>
    <w:rsid w:val="003D4134"/>
    <w:rsid w:val="003D4DDB"/>
    <w:rsid w:val="003D5573"/>
    <w:rsid w:val="003E50BB"/>
    <w:rsid w:val="003E551F"/>
    <w:rsid w:val="003E6769"/>
    <w:rsid w:val="003E7743"/>
    <w:rsid w:val="003F1539"/>
    <w:rsid w:val="003F3320"/>
    <w:rsid w:val="003F3B78"/>
    <w:rsid w:val="004013F4"/>
    <w:rsid w:val="00401A04"/>
    <w:rsid w:val="00402CAC"/>
    <w:rsid w:val="0040664B"/>
    <w:rsid w:val="00410F50"/>
    <w:rsid w:val="00413E58"/>
    <w:rsid w:val="00414289"/>
    <w:rsid w:val="004233C8"/>
    <w:rsid w:val="0043314B"/>
    <w:rsid w:val="00434CC8"/>
    <w:rsid w:val="004353C4"/>
    <w:rsid w:val="00436B80"/>
    <w:rsid w:val="004427E7"/>
    <w:rsid w:val="0044339B"/>
    <w:rsid w:val="0044740B"/>
    <w:rsid w:val="004533AE"/>
    <w:rsid w:val="00454FD4"/>
    <w:rsid w:val="00455A3D"/>
    <w:rsid w:val="00457130"/>
    <w:rsid w:val="004621B2"/>
    <w:rsid w:val="004621D7"/>
    <w:rsid w:val="00462C08"/>
    <w:rsid w:val="0046702A"/>
    <w:rsid w:val="004677CD"/>
    <w:rsid w:val="004730DB"/>
    <w:rsid w:val="00475673"/>
    <w:rsid w:val="0047578E"/>
    <w:rsid w:val="00480458"/>
    <w:rsid w:val="00480977"/>
    <w:rsid w:val="00482EC7"/>
    <w:rsid w:val="00483982"/>
    <w:rsid w:val="004874C9"/>
    <w:rsid w:val="00487C7E"/>
    <w:rsid w:val="00491CF9"/>
    <w:rsid w:val="00492E31"/>
    <w:rsid w:val="0049442C"/>
    <w:rsid w:val="00494F86"/>
    <w:rsid w:val="00496B99"/>
    <w:rsid w:val="004A1E49"/>
    <w:rsid w:val="004A2D19"/>
    <w:rsid w:val="004A326F"/>
    <w:rsid w:val="004A5C9C"/>
    <w:rsid w:val="004A70FC"/>
    <w:rsid w:val="004B3C28"/>
    <w:rsid w:val="004C0689"/>
    <w:rsid w:val="004C156D"/>
    <w:rsid w:val="004C1B28"/>
    <w:rsid w:val="004C4E54"/>
    <w:rsid w:val="004C65BC"/>
    <w:rsid w:val="004D10F2"/>
    <w:rsid w:val="004D225C"/>
    <w:rsid w:val="004D2688"/>
    <w:rsid w:val="004D67F9"/>
    <w:rsid w:val="004E088C"/>
    <w:rsid w:val="004E342C"/>
    <w:rsid w:val="004E4B85"/>
    <w:rsid w:val="004E4C81"/>
    <w:rsid w:val="004E7B23"/>
    <w:rsid w:val="004F54E8"/>
    <w:rsid w:val="004F5911"/>
    <w:rsid w:val="00510ED3"/>
    <w:rsid w:val="005118DB"/>
    <w:rsid w:val="00511DDD"/>
    <w:rsid w:val="00512136"/>
    <w:rsid w:val="005140C1"/>
    <w:rsid w:val="00517925"/>
    <w:rsid w:val="00517BEB"/>
    <w:rsid w:val="00521BD1"/>
    <w:rsid w:val="00522D8D"/>
    <w:rsid w:val="0052366B"/>
    <w:rsid w:val="00524FFF"/>
    <w:rsid w:val="005254C7"/>
    <w:rsid w:val="00526FC3"/>
    <w:rsid w:val="00527FE1"/>
    <w:rsid w:val="00531013"/>
    <w:rsid w:val="00535B50"/>
    <w:rsid w:val="00536E13"/>
    <w:rsid w:val="005510BF"/>
    <w:rsid w:val="0055141E"/>
    <w:rsid w:val="00552B85"/>
    <w:rsid w:val="0055569A"/>
    <w:rsid w:val="00555DCF"/>
    <w:rsid w:val="00557102"/>
    <w:rsid w:val="00560315"/>
    <w:rsid w:val="00560602"/>
    <w:rsid w:val="00561C2A"/>
    <w:rsid w:val="00562EE8"/>
    <w:rsid w:val="00572150"/>
    <w:rsid w:val="005739CD"/>
    <w:rsid w:val="00573E1F"/>
    <w:rsid w:val="0057762F"/>
    <w:rsid w:val="005776E2"/>
    <w:rsid w:val="00585B9F"/>
    <w:rsid w:val="00585D06"/>
    <w:rsid w:val="00586043"/>
    <w:rsid w:val="0058686E"/>
    <w:rsid w:val="00592086"/>
    <w:rsid w:val="00597ABA"/>
    <w:rsid w:val="005B223E"/>
    <w:rsid w:val="005B2571"/>
    <w:rsid w:val="005B25A7"/>
    <w:rsid w:val="005B5119"/>
    <w:rsid w:val="005B6C28"/>
    <w:rsid w:val="005C1C87"/>
    <w:rsid w:val="005C6E57"/>
    <w:rsid w:val="005C70E4"/>
    <w:rsid w:val="005C7C97"/>
    <w:rsid w:val="005D1BF9"/>
    <w:rsid w:val="005D3E2E"/>
    <w:rsid w:val="005D58CE"/>
    <w:rsid w:val="005D6C2A"/>
    <w:rsid w:val="005D73E5"/>
    <w:rsid w:val="005E4870"/>
    <w:rsid w:val="005E67E5"/>
    <w:rsid w:val="005E7E10"/>
    <w:rsid w:val="005F2C79"/>
    <w:rsid w:val="005F5806"/>
    <w:rsid w:val="00600A60"/>
    <w:rsid w:val="0060192B"/>
    <w:rsid w:val="006025F4"/>
    <w:rsid w:val="0060713F"/>
    <w:rsid w:val="00610503"/>
    <w:rsid w:val="0061109C"/>
    <w:rsid w:val="00611390"/>
    <w:rsid w:val="00613E04"/>
    <w:rsid w:val="00614A6B"/>
    <w:rsid w:val="00615C01"/>
    <w:rsid w:val="00615D02"/>
    <w:rsid w:val="00624284"/>
    <w:rsid w:val="00626686"/>
    <w:rsid w:val="00632678"/>
    <w:rsid w:val="0063284F"/>
    <w:rsid w:val="00633B17"/>
    <w:rsid w:val="00641761"/>
    <w:rsid w:val="00642359"/>
    <w:rsid w:val="00642509"/>
    <w:rsid w:val="006427F0"/>
    <w:rsid w:val="0064543C"/>
    <w:rsid w:val="006457F4"/>
    <w:rsid w:val="006473DE"/>
    <w:rsid w:val="00650DD0"/>
    <w:rsid w:val="006516ED"/>
    <w:rsid w:val="0065494B"/>
    <w:rsid w:val="006549D7"/>
    <w:rsid w:val="00665011"/>
    <w:rsid w:val="006657B7"/>
    <w:rsid w:val="006669CB"/>
    <w:rsid w:val="0067103D"/>
    <w:rsid w:val="006759D5"/>
    <w:rsid w:val="00677357"/>
    <w:rsid w:val="00683A17"/>
    <w:rsid w:val="0068765D"/>
    <w:rsid w:val="006903E8"/>
    <w:rsid w:val="006940C9"/>
    <w:rsid w:val="00695AAD"/>
    <w:rsid w:val="00696CA0"/>
    <w:rsid w:val="006A4EDC"/>
    <w:rsid w:val="006A73F0"/>
    <w:rsid w:val="006B0C91"/>
    <w:rsid w:val="006B388E"/>
    <w:rsid w:val="006B4094"/>
    <w:rsid w:val="006B629B"/>
    <w:rsid w:val="006B646B"/>
    <w:rsid w:val="006B7214"/>
    <w:rsid w:val="006B7260"/>
    <w:rsid w:val="006C3F81"/>
    <w:rsid w:val="006C7A85"/>
    <w:rsid w:val="006D31F6"/>
    <w:rsid w:val="006D35F3"/>
    <w:rsid w:val="006D796C"/>
    <w:rsid w:val="006E057D"/>
    <w:rsid w:val="006E37E2"/>
    <w:rsid w:val="006E5F94"/>
    <w:rsid w:val="006E7738"/>
    <w:rsid w:val="00703D0C"/>
    <w:rsid w:val="00705DBC"/>
    <w:rsid w:val="007132B3"/>
    <w:rsid w:val="0071334D"/>
    <w:rsid w:val="00714648"/>
    <w:rsid w:val="00715366"/>
    <w:rsid w:val="007166F1"/>
    <w:rsid w:val="007213AF"/>
    <w:rsid w:val="00722F61"/>
    <w:rsid w:val="00723818"/>
    <w:rsid w:val="0072382D"/>
    <w:rsid w:val="00731E01"/>
    <w:rsid w:val="00732BEF"/>
    <w:rsid w:val="00734672"/>
    <w:rsid w:val="007348DF"/>
    <w:rsid w:val="00740753"/>
    <w:rsid w:val="0074385B"/>
    <w:rsid w:val="007442DC"/>
    <w:rsid w:val="0074446B"/>
    <w:rsid w:val="00744875"/>
    <w:rsid w:val="00744A1C"/>
    <w:rsid w:val="00745EE1"/>
    <w:rsid w:val="00747A4E"/>
    <w:rsid w:val="00751625"/>
    <w:rsid w:val="00753B09"/>
    <w:rsid w:val="00754A2B"/>
    <w:rsid w:val="00755BC1"/>
    <w:rsid w:val="00755D7D"/>
    <w:rsid w:val="007560CF"/>
    <w:rsid w:val="00756BBE"/>
    <w:rsid w:val="00760048"/>
    <w:rsid w:val="00771FE6"/>
    <w:rsid w:val="0078042B"/>
    <w:rsid w:val="00780CAF"/>
    <w:rsid w:val="00782C95"/>
    <w:rsid w:val="00784B55"/>
    <w:rsid w:val="00797878"/>
    <w:rsid w:val="007A0544"/>
    <w:rsid w:val="007A1517"/>
    <w:rsid w:val="007A6BC8"/>
    <w:rsid w:val="007B1B68"/>
    <w:rsid w:val="007B2692"/>
    <w:rsid w:val="007B4D03"/>
    <w:rsid w:val="007C145C"/>
    <w:rsid w:val="007C1DAE"/>
    <w:rsid w:val="007C2300"/>
    <w:rsid w:val="007C4406"/>
    <w:rsid w:val="007C718E"/>
    <w:rsid w:val="007C7CA8"/>
    <w:rsid w:val="007D168A"/>
    <w:rsid w:val="007D30A4"/>
    <w:rsid w:val="007D5AB9"/>
    <w:rsid w:val="007D5B3D"/>
    <w:rsid w:val="007D6699"/>
    <w:rsid w:val="007D7122"/>
    <w:rsid w:val="007E17DA"/>
    <w:rsid w:val="007E19C0"/>
    <w:rsid w:val="007E314C"/>
    <w:rsid w:val="007E4D83"/>
    <w:rsid w:val="007E6570"/>
    <w:rsid w:val="007E6A65"/>
    <w:rsid w:val="007F06E6"/>
    <w:rsid w:val="007F3734"/>
    <w:rsid w:val="007F770B"/>
    <w:rsid w:val="007F7948"/>
    <w:rsid w:val="00801284"/>
    <w:rsid w:val="00801BB6"/>
    <w:rsid w:val="00801D03"/>
    <w:rsid w:val="008040AF"/>
    <w:rsid w:val="008149D8"/>
    <w:rsid w:val="0081656B"/>
    <w:rsid w:val="00822384"/>
    <w:rsid w:val="00825172"/>
    <w:rsid w:val="00827372"/>
    <w:rsid w:val="00836044"/>
    <w:rsid w:val="00836D4D"/>
    <w:rsid w:val="00836FE3"/>
    <w:rsid w:val="00843ADD"/>
    <w:rsid w:val="00843C1E"/>
    <w:rsid w:val="008444E8"/>
    <w:rsid w:val="00844F7D"/>
    <w:rsid w:val="00846DE6"/>
    <w:rsid w:val="0085001B"/>
    <w:rsid w:val="00851238"/>
    <w:rsid w:val="00854BA6"/>
    <w:rsid w:val="00855079"/>
    <w:rsid w:val="00855686"/>
    <w:rsid w:val="00855CE7"/>
    <w:rsid w:val="008572AB"/>
    <w:rsid w:val="008579F7"/>
    <w:rsid w:val="0086656F"/>
    <w:rsid w:val="008702A2"/>
    <w:rsid w:val="00875632"/>
    <w:rsid w:val="00883F98"/>
    <w:rsid w:val="00885120"/>
    <w:rsid w:val="008857C3"/>
    <w:rsid w:val="008959EC"/>
    <w:rsid w:val="00896DCD"/>
    <w:rsid w:val="00897694"/>
    <w:rsid w:val="00897CD9"/>
    <w:rsid w:val="008A2513"/>
    <w:rsid w:val="008A31DD"/>
    <w:rsid w:val="008A50D6"/>
    <w:rsid w:val="008B08E6"/>
    <w:rsid w:val="008B2989"/>
    <w:rsid w:val="008B323C"/>
    <w:rsid w:val="008B4123"/>
    <w:rsid w:val="008B4DC2"/>
    <w:rsid w:val="008B50A8"/>
    <w:rsid w:val="008B59DD"/>
    <w:rsid w:val="008B62A6"/>
    <w:rsid w:val="008B6A38"/>
    <w:rsid w:val="008B723F"/>
    <w:rsid w:val="008C3AA5"/>
    <w:rsid w:val="008C6BC4"/>
    <w:rsid w:val="008D25E3"/>
    <w:rsid w:val="008D3D0A"/>
    <w:rsid w:val="008D43E0"/>
    <w:rsid w:val="008D5FA6"/>
    <w:rsid w:val="008E2E47"/>
    <w:rsid w:val="008E3DE4"/>
    <w:rsid w:val="008E3E8F"/>
    <w:rsid w:val="008F210B"/>
    <w:rsid w:val="008F3365"/>
    <w:rsid w:val="008F7DC9"/>
    <w:rsid w:val="00902C3C"/>
    <w:rsid w:val="0090604C"/>
    <w:rsid w:val="0090640D"/>
    <w:rsid w:val="00906ED9"/>
    <w:rsid w:val="009104A8"/>
    <w:rsid w:val="009108D9"/>
    <w:rsid w:val="0091281B"/>
    <w:rsid w:val="009130B7"/>
    <w:rsid w:val="00917389"/>
    <w:rsid w:val="00917871"/>
    <w:rsid w:val="00922D20"/>
    <w:rsid w:val="009238A8"/>
    <w:rsid w:val="00924566"/>
    <w:rsid w:val="00925295"/>
    <w:rsid w:val="009256BD"/>
    <w:rsid w:val="009264EF"/>
    <w:rsid w:val="009301F3"/>
    <w:rsid w:val="0093057B"/>
    <w:rsid w:val="00932CBE"/>
    <w:rsid w:val="0094017F"/>
    <w:rsid w:val="009424AF"/>
    <w:rsid w:val="009436B4"/>
    <w:rsid w:val="00943CFB"/>
    <w:rsid w:val="00944D74"/>
    <w:rsid w:val="00950D35"/>
    <w:rsid w:val="00952159"/>
    <w:rsid w:val="009531AA"/>
    <w:rsid w:val="00963217"/>
    <w:rsid w:val="00965C04"/>
    <w:rsid w:val="009662A5"/>
    <w:rsid w:val="009700A7"/>
    <w:rsid w:val="00973FE3"/>
    <w:rsid w:val="00974ADD"/>
    <w:rsid w:val="009759F7"/>
    <w:rsid w:val="00976127"/>
    <w:rsid w:val="00980CB3"/>
    <w:rsid w:val="009821EF"/>
    <w:rsid w:val="009833A7"/>
    <w:rsid w:val="00986B00"/>
    <w:rsid w:val="0099007E"/>
    <w:rsid w:val="00992963"/>
    <w:rsid w:val="00997376"/>
    <w:rsid w:val="009A15F3"/>
    <w:rsid w:val="009A6E65"/>
    <w:rsid w:val="009B03ED"/>
    <w:rsid w:val="009B1600"/>
    <w:rsid w:val="009B1B47"/>
    <w:rsid w:val="009B6148"/>
    <w:rsid w:val="009C1E76"/>
    <w:rsid w:val="009C4D22"/>
    <w:rsid w:val="009C563B"/>
    <w:rsid w:val="009D2439"/>
    <w:rsid w:val="009D3724"/>
    <w:rsid w:val="009D7BF7"/>
    <w:rsid w:val="009D7E79"/>
    <w:rsid w:val="009E15A1"/>
    <w:rsid w:val="009E1950"/>
    <w:rsid w:val="009E2ED4"/>
    <w:rsid w:val="009E39AA"/>
    <w:rsid w:val="009F03C9"/>
    <w:rsid w:val="009F2BB0"/>
    <w:rsid w:val="009F5228"/>
    <w:rsid w:val="00A02B0B"/>
    <w:rsid w:val="00A04859"/>
    <w:rsid w:val="00A05F9C"/>
    <w:rsid w:val="00A0655E"/>
    <w:rsid w:val="00A10CCB"/>
    <w:rsid w:val="00A128E9"/>
    <w:rsid w:val="00A147C5"/>
    <w:rsid w:val="00A15C20"/>
    <w:rsid w:val="00A16753"/>
    <w:rsid w:val="00A17E28"/>
    <w:rsid w:val="00A22B11"/>
    <w:rsid w:val="00A24808"/>
    <w:rsid w:val="00A249E3"/>
    <w:rsid w:val="00A26416"/>
    <w:rsid w:val="00A27057"/>
    <w:rsid w:val="00A27DE0"/>
    <w:rsid w:val="00A30041"/>
    <w:rsid w:val="00A30824"/>
    <w:rsid w:val="00A318B4"/>
    <w:rsid w:val="00A33287"/>
    <w:rsid w:val="00A3705F"/>
    <w:rsid w:val="00A37C66"/>
    <w:rsid w:val="00A415C3"/>
    <w:rsid w:val="00A41A58"/>
    <w:rsid w:val="00A43FBF"/>
    <w:rsid w:val="00A45E6D"/>
    <w:rsid w:val="00A51B4C"/>
    <w:rsid w:val="00A53891"/>
    <w:rsid w:val="00A54A88"/>
    <w:rsid w:val="00A557FB"/>
    <w:rsid w:val="00A6316D"/>
    <w:rsid w:val="00A63A2C"/>
    <w:rsid w:val="00A65273"/>
    <w:rsid w:val="00A65B13"/>
    <w:rsid w:val="00A67B12"/>
    <w:rsid w:val="00A70835"/>
    <w:rsid w:val="00A70BEC"/>
    <w:rsid w:val="00A7150E"/>
    <w:rsid w:val="00A72D17"/>
    <w:rsid w:val="00A77698"/>
    <w:rsid w:val="00A82AC4"/>
    <w:rsid w:val="00A8573B"/>
    <w:rsid w:val="00A8704A"/>
    <w:rsid w:val="00A90AA7"/>
    <w:rsid w:val="00A93B96"/>
    <w:rsid w:val="00A9431D"/>
    <w:rsid w:val="00A97250"/>
    <w:rsid w:val="00A9784F"/>
    <w:rsid w:val="00AA41BE"/>
    <w:rsid w:val="00AA5810"/>
    <w:rsid w:val="00AB2AC9"/>
    <w:rsid w:val="00AB39A0"/>
    <w:rsid w:val="00AC33FE"/>
    <w:rsid w:val="00AC4F1D"/>
    <w:rsid w:val="00AC5658"/>
    <w:rsid w:val="00AD1726"/>
    <w:rsid w:val="00AD22C2"/>
    <w:rsid w:val="00AD65F1"/>
    <w:rsid w:val="00AD7279"/>
    <w:rsid w:val="00AE2976"/>
    <w:rsid w:val="00AE3B6D"/>
    <w:rsid w:val="00AE712C"/>
    <w:rsid w:val="00AE782B"/>
    <w:rsid w:val="00AF03C0"/>
    <w:rsid w:val="00AF0F33"/>
    <w:rsid w:val="00AF4116"/>
    <w:rsid w:val="00B00FEE"/>
    <w:rsid w:val="00B0129B"/>
    <w:rsid w:val="00B03381"/>
    <w:rsid w:val="00B04A7B"/>
    <w:rsid w:val="00B07D95"/>
    <w:rsid w:val="00B10FCB"/>
    <w:rsid w:val="00B115FC"/>
    <w:rsid w:val="00B1735E"/>
    <w:rsid w:val="00B20AA4"/>
    <w:rsid w:val="00B25200"/>
    <w:rsid w:val="00B326B1"/>
    <w:rsid w:val="00B34E9D"/>
    <w:rsid w:val="00B3505F"/>
    <w:rsid w:val="00B369E2"/>
    <w:rsid w:val="00B37FB2"/>
    <w:rsid w:val="00B45B54"/>
    <w:rsid w:val="00B52567"/>
    <w:rsid w:val="00B564DC"/>
    <w:rsid w:val="00B65834"/>
    <w:rsid w:val="00B712AE"/>
    <w:rsid w:val="00B717A9"/>
    <w:rsid w:val="00B717EC"/>
    <w:rsid w:val="00B72585"/>
    <w:rsid w:val="00B8136C"/>
    <w:rsid w:val="00B830C9"/>
    <w:rsid w:val="00B84487"/>
    <w:rsid w:val="00B8503E"/>
    <w:rsid w:val="00B86035"/>
    <w:rsid w:val="00B9095A"/>
    <w:rsid w:val="00B91278"/>
    <w:rsid w:val="00B92263"/>
    <w:rsid w:val="00B93174"/>
    <w:rsid w:val="00BA2F9E"/>
    <w:rsid w:val="00BA6DBB"/>
    <w:rsid w:val="00BB0422"/>
    <w:rsid w:val="00BB1A41"/>
    <w:rsid w:val="00BB38D5"/>
    <w:rsid w:val="00BB4299"/>
    <w:rsid w:val="00BB4511"/>
    <w:rsid w:val="00BC2034"/>
    <w:rsid w:val="00BC397B"/>
    <w:rsid w:val="00BD05FC"/>
    <w:rsid w:val="00BD0A93"/>
    <w:rsid w:val="00BE3C2F"/>
    <w:rsid w:val="00BE751C"/>
    <w:rsid w:val="00BE7A59"/>
    <w:rsid w:val="00BE7F72"/>
    <w:rsid w:val="00BF0FAA"/>
    <w:rsid w:val="00BF1B1F"/>
    <w:rsid w:val="00BF20BF"/>
    <w:rsid w:val="00BF2E91"/>
    <w:rsid w:val="00BF4C6D"/>
    <w:rsid w:val="00BF4FCC"/>
    <w:rsid w:val="00BF7B63"/>
    <w:rsid w:val="00C03AA1"/>
    <w:rsid w:val="00C04996"/>
    <w:rsid w:val="00C10AF8"/>
    <w:rsid w:val="00C125DE"/>
    <w:rsid w:val="00C1371F"/>
    <w:rsid w:val="00C17B6D"/>
    <w:rsid w:val="00C21AD3"/>
    <w:rsid w:val="00C23A04"/>
    <w:rsid w:val="00C24039"/>
    <w:rsid w:val="00C2442B"/>
    <w:rsid w:val="00C24670"/>
    <w:rsid w:val="00C269CE"/>
    <w:rsid w:val="00C410C0"/>
    <w:rsid w:val="00C43ECD"/>
    <w:rsid w:val="00C44375"/>
    <w:rsid w:val="00C6036C"/>
    <w:rsid w:val="00C63DA2"/>
    <w:rsid w:val="00C64B6E"/>
    <w:rsid w:val="00C7159C"/>
    <w:rsid w:val="00C71B46"/>
    <w:rsid w:val="00C7672F"/>
    <w:rsid w:val="00C81D1C"/>
    <w:rsid w:val="00C82064"/>
    <w:rsid w:val="00C844CF"/>
    <w:rsid w:val="00C852AB"/>
    <w:rsid w:val="00C90437"/>
    <w:rsid w:val="00C91B05"/>
    <w:rsid w:val="00CA09D6"/>
    <w:rsid w:val="00CA5353"/>
    <w:rsid w:val="00CA6FC8"/>
    <w:rsid w:val="00CB06CB"/>
    <w:rsid w:val="00CB5F63"/>
    <w:rsid w:val="00CC18D2"/>
    <w:rsid w:val="00CC284E"/>
    <w:rsid w:val="00CC4773"/>
    <w:rsid w:val="00CC6FFD"/>
    <w:rsid w:val="00CD16AA"/>
    <w:rsid w:val="00CD481C"/>
    <w:rsid w:val="00CD5B01"/>
    <w:rsid w:val="00CE3103"/>
    <w:rsid w:val="00CE3CE2"/>
    <w:rsid w:val="00CE3E4A"/>
    <w:rsid w:val="00CE6F67"/>
    <w:rsid w:val="00CE758F"/>
    <w:rsid w:val="00CF4F8E"/>
    <w:rsid w:val="00CF6523"/>
    <w:rsid w:val="00CF6BCB"/>
    <w:rsid w:val="00CF6D1F"/>
    <w:rsid w:val="00D0078F"/>
    <w:rsid w:val="00D06BB5"/>
    <w:rsid w:val="00D10FED"/>
    <w:rsid w:val="00D14C7B"/>
    <w:rsid w:val="00D15F67"/>
    <w:rsid w:val="00D16825"/>
    <w:rsid w:val="00D169D4"/>
    <w:rsid w:val="00D22C5D"/>
    <w:rsid w:val="00D2688C"/>
    <w:rsid w:val="00D3071F"/>
    <w:rsid w:val="00D333E9"/>
    <w:rsid w:val="00D35D08"/>
    <w:rsid w:val="00D377F0"/>
    <w:rsid w:val="00D402D3"/>
    <w:rsid w:val="00D53431"/>
    <w:rsid w:val="00D56B4B"/>
    <w:rsid w:val="00D634B9"/>
    <w:rsid w:val="00D66179"/>
    <w:rsid w:val="00D66703"/>
    <w:rsid w:val="00D72392"/>
    <w:rsid w:val="00D72DA3"/>
    <w:rsid w:val="00D73009"/>
    <w:rsid w:val="00D74DBB"/>
    <w:rsid w:val="00D759C8"/>
    <w:rsid w:val="00D76977"/>
    <w:rsid w:val="00D81875"/>
    <w:rsid w:val="00D83A5F"/>
    <w:rsid w:val="00D83C38"/>
    <w:rsid w:val="00D83F30"/>
    <w:rsid w:val="00D96D40"/>
    <w:rsid w:val="00DA2431"/>
    <w:rsid w:val="00DA41E0"/>
    <w:rsid w:val="00DA78F6"/>
    <w:rsid w:val="00DB1495"/>
    <w:rsid w:val="00DB28CF"/>
    <w:rsid w:val="00DB291C"/>
    <w:rsid w:val="00DB35B2"/>
    <w:rsid w:val="00DB4087"/>
    <w:rsid w:val="00DC50BF"/>
    <w:rsid w:val="00DC6343"/>
    <w:rsid w:val="00DD267D"/>
    <w:rsid w:val="00DD3298"/>
    <w:rsid w:val="00DD3A1A"/>
    <w:rsid w:val="00DD4129"/>
    <w:rsid w:val="00DD4CF0"/>
    <w:rsid w:val="00DD5714"/>
    <w:rsid w:val="00DD6A68"/>
    <w:rsid w:val="00DD7DC7"/>
    <w:rsid w:val="00DE0F52"/>
    <w:rsid w:val="00DE6E85"/>
    <w:rsid w:val="00DE6EDB"/>
    <w:rsid w:val="00DF274F"/>
    <w:rsid w:val="00DF3396"/>
    <w:rsid w:val="00DF36FE"/>
    <w:rsid w:val="00DF4241"/>
    <w:rsid w:val="00DF4BB0"/>
    <w:rsid w:val="00DF4FD2"/>
    <w:rsid w:val="00DF50F2"/>
    <w:rsid w:val="00DF7DFF"/>
    <w:rsid w:val="00E02C03"/>
    <w:rsid w:val="00E02CF7"/>
    <w:rsid w:val="00E05BC5"/>
    <w:rsid w:val="00E05EA9"/>
    <w:rsid w:val="00E07D7F"/>
    <w:rsid w:val="00E1131D"/>
    <w:rsid w:val="00E15C7D"/>
    <w:rsid w:val="00E17AA0"/>
    <w:rsid w:val="00E2327E"/>
    <w:rsid w:val="00E23444"/>
    <w:rsid w:val="00E24641"/>
    <w:rsid w:val="00E30BA4"/>
    <w:rsid w:val="00E324FD"/>
    <w:rsid w:val="00E32C5A"/>
    <w:rsid w:val="00E3448C"/>
    <w:rsid w:val="00E34C32"/>
    <w:rsid w:val="00E358E6"/>
    <w:rsid w:val="00E36403"/>
    <w:rsid w:val="00E372FB"/>
    <w:rsid w:val="00E373CD"/>
    <w:rsid w:val="00E40549"/>
    <w:rsid w:val="00E4284F"/>
    <w:rsid w:val="00E43978"/>
    <w:rsid w:val="00E44A55"/>
    <w:rsid w:val="00E44C5E"/>
    <w:rsid w:val="00E44CAD"/>
    <w:rsid w:val="00E504D9"/>
    <w:rsid w:val="00E51BEB"/>
    <w:rsid w:val="00E52C18"/>
    <w:rsid w:val="00E52F9A"/>
    <w:rsid w:val="00E53C69"/>
    <w:rsid w:val="00E54B3D"/>
    <w:rsid w:val="00E552BD"/>
    <w:rsid w:val="00E573D3"/>
    <w:rsid w:val="00E621BC"/>
    <w:rsid w:val="00E62840"/>
    <w:rsid w:val="00E715C3"/>
    <w:rsid w:val="00E7355B"/>
    <w:rsid w:val="00E74B4B"/>
    <w:rsid w:val="00E7530B"/>
    <w:rsid w:val="00E80266"/>
    <w:rsid w:val="00E8122C"/>
    <w:rsid w:val="00E8224D"/>
    <w:rsid w:val="00E83B4C"/>
    <w:rsid w:val="00E87649"/>
    <w:rsid w:val="00E8799E"/>
    <w:rsid w:val="00E87B11"/>
    <w:rsid w:val="00E97C49"/>
    <w:rsid w:val="00EA06B2"/>
    <w:rsid w:val="00EA5B2E"/>
    <w:rsid w:val="00EB07C4"/>
    <w:rsid w:val="00EB07E6"/>
    <w:rsid w:val="00EB1090"/>
    <w:rsid w:val="00EB49D2"/>
    <w:rsid w:val="00EB4D61"/>
    <w:rsid w:val="00EB5B11"/>
    <w:rsid w:val="00EB7D61"/>
    <w:rsid w:val="00EC02F7"/>
    <w:rsid w:val="00EC4AE1"/>
    <w:rsid w:val="00EC70FB"/>
    <w:rsid w:val="00ED38CD"/>
    <w:rsid w:val="00ED4D66"/>
    <w:rsid w:val="00ED572A"/>
    <w:rsid w:val="00EE2514"/>
    <w:rsid w:val="00EE5514"/>
    <w:rsid w:val="00EE58A8"/>
    <w:rsid w:val="00EF285E"/>
    <w:rsid w:val="00EF333C"/>
    <w:rsid w:val="00EF426E"/>
    <w:rsid w:val="00EF5811"/>
    <w:rsid w:val="00EF6B9F"/>
    <w:rsid w:val="00F001EC"/>
    <w:rsid w:val="00F06788"/>
    <w:rsid w:val="00F073B9"/>
    <w:rsid w:val="00F13BF9"/>
    <w:rsid w:val="00F1721B"/>
    <w:rsid w:val="00F201FA"/>
    <w:rsid w:val="00F21170"/>
    <w:rsid w:val="00F217AE"/>
    <w:rsid w:val="00F2231C"/>
    <w:rsid w:val="00F234DF"/>
    <w:rsid w:val="00F23C79"/>
    <w:rsid w:val="00F260C1"/>
    <w:rsid w:val="00F27AFE"/>
    <w:rsid w:val="00F27C4E"/>
    <w:rsid w:val="00F3001A"/>
    <w:rsid w:val="00F30CAF"/>
    <w:rsid w:val="00F343EE"/>
    <w:rsid w:val="00F353F1"/>
    <w:rsid w:val="00F36A54"/>
    <w:rsid w:val="00F41E42"/>
    <w:rsid w:val="00F44903"/>
    <w:rsid w:val="00F46214"/>
    <w:rsid w:val="00F464F5"/>
    <w:rsid w:val="00F5202E"/>
    <w:rsid w:val="00F5335D"/>
    <w:rsid w:val="00F56B2D"/>
    <w:rsid w:val="00F57322"/>
    <w:rsid w:val="00F607A8"/>
    <w:rsid w:val="00F6087D"/>
    <w:rsid w:val="00F62508"/>
    <w:rsid w:val="00F633C6"/>
    <w:rsid w:val="00F70CA0"/>
    <w:rsid w:val="00F71E2A"/>
    <w:rsid w:val="00F72A4F"/>
    <w:rsid w:val="00F740DB"/>
    <w:rsid w:val="00F749E8"/>
    <w:rsid w:val="00F74BD7"/>
    <w:rsid w:val="00F75C09"/>
    <w:rsid w:val="00F945CA"/>
    <w:rsid w:val="00FA27EE"/>
    <w:rsid w:val="00FA2DBC"/>
    <w:rsid w:val="00FA4A2B"/>
    <w:rsid w:val="00FA4BCE"/>
    <w:rsid w:val="00FA4D7D"/>
    <w:rsid w:val="00FA61D2"/>
    <w:rsid w:val="00FA7458"/>
    <w:rsid w:val="00FB0D62"/>
    <w:rsid w:val="00FB613B"/>
    <w:rsid w:val="00FC38FA"/>
    <w:rsid w:val="00FC5855"/>
    <w:rsid w:val="00FC64EE"/>
    <w:rsid w:val="00FD2813"/>
    <w:rsid w:val="00FD3D0C"/>
    <w:rsid w:val="00FD61A3"/>
    <w:rsid w:val="00FD736F"/>
    <w:rsid w:val="00FE27AB"/>
    <w:rsid w:val="00FE2E8B"/>
    <w:rsid w:val="00FE64C5"/>
    <w:rsid w:val="00FF0AB6"/>
    <w:rsid w:val="00FF1563"/>
    <w:rsid w:val="00FF2D4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45B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CD"/>
    <w:pPr>
      <w:spacing w:after="240" w:line="260" w:lineRule="exact"/>
    </w:pPr>
    <w:rPr>
      <w:rFonts w:ascii="Book Antiqua" w:hAnsi="Book Antiqua"/>
      <w:color w:val="000000" w:themeColor="text1"/>
      <w:sz w:val="24"/>
      <w:szCs w:val="24"/>
    </w:rPr>
  </w:style>
  <w:style w:type="paragraph" w:styleId="Heading1">
    <w:name w:val="heading 1"/>
    <w:basedOn w:val="HeadingBase"/>
    <w:next w:val="Normal"/>
    <w:link w:val="Heading1Char"/>
    <w:qFormat/>
    <w:rsid w:val="00BF20BF"/>
    <w:pPr>
      <w:spacing w:before="240" w:after="240"/>
      <w:outlineLvl w:val="0"/>
    </w:pPr>
    <w:rPr>
      <w:b/>
      <w:bCs/>
      <w:kern w:val="32"/>
      <w:sz w:val="32"/>
      <w:szCs w:val="36"/>
      <w:lang w:val="x-none" w:eastAsia="x-none"/>
    </w:rPr>
  </w:style>
  <w:style w:type="paragraph" w:styleId="Heading2">
    <w:name w:val="heading 2"/>
    <w:basedOn w:val="HeadingBase"/>
    <w:next w:val="Normal"/>
    <w:qFormat/>
    <w:rsid w:val="003A1C05"/>
    <w:pPr>
      <w:spacing w:before="300" w:after="120"/>
      <w:outlineLvl w:val="1"/>
    </w:pPr>
    <w:rPr>
      <w:rFonts w:cs="Arial"/>
      <w:b/>
      <w:bCs/>
      <w:iCs/>
      <w:sz w:val="28"/>
      <w:szCs w:val="28"/>
    </w:rPr>
  </w:style>
  <w:style w:type="paragraph" w:styleId="Heading3">
    <w:name w:val="heading 3"/>
    <w:basedOn w:val="HeadingBase"/>
    <w:next w:val="Normal"/>
    <w:qFormat/>
    <w:rsid w:val="005776E2"/>
    <w:pPr>
      <w:spacing w:before="240" w:after="120"/>
      <w:outlineLvl w:val="2"/>
    </w:pPr>
    <w:rPr>
      <w:rFonts w:cs="Arial"/>
      <w:b/>
      <w:bCs/>
      <w:szCs w:val="26"/>
    </w:rPr>
  </w:style>
  <w:style w:type="paragraph" w:styleId="Heading4">
    <w:name w:val="heading 4"/>
    <w:basedOn w:val="HeadingBase"/>
    <w:next w:val="Normal"/>
    <w:qFormat/>
    <w:rsid w:val="00755D7D"/>
    <w:pPr>
      <w:spacing w:before="240" w:after="120"/>
      <w:outlineLvl w:val="3"/>
    </w:pPr>
    <w:rPr>
      <w:b/>
      <w:bCs/>
      <w:i/>
      <w:sz w:val="22"/>
      <w:szCs w:val="22"/>
    </w:rPr>
  </w:style>
  <w:style w:type="paragraph" w:styleId="Heading5">
    <w:name w:val="heading 5"/>
    <w:basedOn w:val="HeadingBase"/>
    <w:next w:val="Normal"/>
    <w:qFormat/>
    <w:rsid w:val="00BF20BF"/>
    <w:pPr>
      <w:spacing w:before="40" w:after="40"/>
      <w:outlineLvl w:val="4"/>
    </w:pPr>
    <w:rPr>
      <w:b/>
      <w:bCs/>
      <w:iCs/>
    </w:rPr>
  </w:style>
  <w:style w:type="paragraph" w:styleId="Heading6">
    <w:name w:val="heading 6"/>
    <w:basedOn w:val="HeadingBase"/>
    <w:next w:val="Normal"/>
    <w:qFormat/>
    <w:rsid w:val="00BF20BF"/>
    <w:pPr>
      <w:spacing w:before="360" w:after="360"/>
      <w:jc w:val="center"/>
      <w:outlineLvl w:val="5"/>
    </w:pPr>
    <w:rPr>
      <w:b/>
      <w:bCs/>
      <w:kern w:val="32"/>
      <w:sz w:val="28"/>
      <w:szCs w:val="22"/>
    </w:rPr>
  </w:style>
  <w:style w:type="paragraph" w:styleId="Heading7">
    <w:name w:val="heading 7"/>
    <w:basedOn w:val="HeadingBase"/>
    <w:next w:val="Normal"/>
    <w:qFormat/>
    <w:rsid w:val="00BF20BF"/>
    <w:pPr>
      <w:spacing w:after="120"/>
      <w:outlineLvl w:val="6"/>
    </w:pPr>
  </w:style>
  <w:style w:type="paragraph" w:styleId="Heading8">
    <w:name w:val="heading 8"/>
    <w:basedOn w:val="HeadingBase"/>
    <w:next w:val="Normal"/>
    <w:qFormat/>
    <w:rsid w:val="00BF20BF"/>
    <w:pPr>
      <w:spacing w:after="120"/>
      <w:outlineLvl w:val="7"/>
    </w:pPr>
    <w:rPr>
      <w:iCs/>
    </w:rPr>
  </w:style>
  <w:style w:type="paragraph" w:styleId="Heading9">
    <w:name w:val="heading 9"/>
    <w:basedOn w:val="HeadingBase"/>
    <w:next w:val="Normal"/>
    <w:qFormat/>
    <w:rsid w:val="00BF20B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BF20BF"/>
    <w:pPr>
      <w:keepNext/>
    </w:pPr>
    <w:rPr>
      <w:rFonts w:ascii="Arial" w:hAnsi="Arial"/>
      <w:color w:val="000080"/>
      <w:sz w:val="24"/>
      <w:szCs w:val="24"/>
    </w:rPr>
  </w:style>
  <w:style w:type="paragraph" w:styleId="NormalIndent">
    <w:name w:val="Normal Indent"/>
    <w:basedOn w:val="Normal"/>
    <w:semiHidden/>
    <w:rsid w:val="00BF20BF"/>
    <w:pPr>
      <w:ind w:left="567"/>
    </w:pPr>
  </w:style>
  <w:style w:type="paragraph" w:styleId="Header">
    <w:name w:val="header"/>
    <w:basedOn w:val="HeadingBase"/>
    <w:semiHidden/>
    <w:rsid w:val="00BF20BF"/>
    <w:rPr>
      <w:sz w:val="18"/>
    </w:rPr>
  </w:style>
  <w:style w:type="character" w:styleId="PageNumber">
    <w:name w:val="page number"/>
    <w:basedOn w:val="DefaultParagraphFont"/>
    <w:semiHidden/>
    <w:rsid w:val="00BF20BF"/>
  </w:style>
  <w:style w:type="paragraph" w:styleId="Footer">
    <w:name w:val="footer"/>
    <w:basedOn w:val="HeadingBase"/>
    <w:semiHidden/>
    <w:rsid w:val="00BF20BF"/>
    <w:rPr>
      <w:sz w:val="18"/>
    </w:rPr>
  </w:style>
  <w:style w:type="paragraph" w:customStyle="1" w:styleId="Document">
    <w:name w:val="Document"/>
    <w:basedOn w:val="Normal"/>
    <w:rsid w:val="00BF20BF"/>
    <w:pPr>
      <w:tabs>
        <w:tab w:val="num" w:pos="0"/>
      </w:tabs>
      <w:spacing w:after="120" w:line="360" w:lineRule="auto"/>
      <w:ind w:left="567" w:hanging="567"/>
      <w:jc w:val="both"/>
    </w:pPr>
    <w:rPr>
      <w:rFonts w:ascii="Arial" w:hAnsi="Arial"/>
      <w:sz w:val="22"/>
      <w:szCs w:val="22"/>
    </w:rPr>
  </w:style>
  <w:style w:type="paragraph" w:styleId="Title">
    <w:name w:val="Title"/>
    <w:basedOn w:val="Normal"/>
    <w:qFormat/>
    <w:rsid w:val="00BF20BF"/>
    <w:pPr>
      <w:spacing w:line="360" w:lineRule="auto"/>
      <w:jc w:val="center"/>
    </w:pPr>
    <w:rPr>
      <w:b/>
      <w:szCs w:val="22"/>
      <w:u w:val="single"/>
    </w:rPr>
  </w:style>
  <w:style w:type="paragraph" w:customStyle="1" w:styleId="Outline-1">
    <w:name w:val="Outline-1"/>
    <w:rsid w:val="00BF20BF"/>
    <w:pPr>
      <w:numPr>
        <w:numId w:val="1"/>
      </w:numPr>
      <w:tabs>
        <w:tab w:val="left" w:pos="567"/>
      </w:tabs>
      <w:spacing w:before="240"/>
      <w:jc w:val="both"/>
    </w:pPr>
    <w:rPr>
      <w:rFonts w:ascii="Palatino" w:hAnsi="Palatino"/>
      <w:sz w:val="24"/>
      <w:szCs w:val="24"/>
      <w:lang w:eastAsia="en-US"/>
    </w:rPr>
  </w:style>
  <w:style w:type="paragraph" w:customStyle="1" w:styleId="Outline-6">
    <w:name w:val="Outline-6"/>
    <w:rsid w:val="00BF20BF"/>
    <w:pPr>
      <w:numPr>
        <w:numId w:val="2"/>
      </w:numPr>
      <w:spacing w:before="120"/>
      <w:jc w:val="both"/>
    </w:pPr>
    <w:rPr>
      <w:rFonts w:ascii="Palatino" w:hAnsi="Palatino"/>
      <w:sz w:val="24"/>
      <w:szCs w:val="24"/>
      <w:lang w:eastAsia="en-US"/>
    </w:rPr>
  </w:style>
  <w:style w:type="paragraph" w:customStyle="1" w:styleId="SingleParagraph">
    <w:name w:val="Single Paragraph"/>
    <w:basedOn w:val="Normal"/>
    <w:rsid w:val="00BF20BF"/>
    <w:pPr>
      <w:spacing w:after="0"/>
    </w:pPr>
  </w:style>
  <w:style w:type="character" w:styleId="Hyperlink">
    <w:name w:val="Hyperlink"/>
    <w:uiPriority w:val="99"/>
    <w:rsid w:val="00BF20BF"/>
    <w:rPr>
      <w:color w:val="auto"/>
      <w:u w:val="none"/>
    </w:rPr>
  </w:style>
  <w:style w:type="character" w:styleId="FootnoteReference">
    <w:name w:val="footnote reference"/>
    <w:rsid w:val="00BF20BF"/>
    <w:rPr>
      <w:vertAlign w:val="superscript"/>
    </w:rPr>
  </w:style>
  <w:style w:type="character" w:styleId="FollowedHyperlink">
    <w:name w:val="FollowedHyperlink"/>
    <w:semiHidden/>
    <w:rsid w:val="00BF20BF"/>
    <w:rPr>
      <w:color w:val="auto"/>
      <w:u w:val="none"/>
    </w:rPr>
  </w:style>
  <w:style w:type="paragraph" w:styleId="FootnoteText">
    <w:name w:val="footnote text"/>
    <w:basedOn w:val="Normal"/>
    <w:link w:val="FootnoteTextChar"/>
    <w:rsid w:val="000E175C"/>
    <w:pPr>
      <w:tabs>
        <w:tab w:val="left" w:pos="284"/>
      </w:tabs>
      <w:spacing w:after="0" w:line="240" w:lineRule="auto"/>
      <w:ind w:left="284" w:hanging="284"/>
    </w:pPr>
    <w:rPr>
      <w:sz w:val="18"/>
      <w:lang w:val="x-none" w:eastAsia="x-none"/>
    </w:rPr>
  </w:style>
  <w:style w:type="paragraph" w:customStyle="1" w:styleId="Bullet">
    <w:name w:val="Bullet"/>
    <w:basedOn w:val="Normal"/>
    <w:rsid w:val="00BF20BF"/>
    <w:pPr>
      <w:numPr>
        <w:ilvl w:val="1"/>
        <w:numId w:val="3"/>
      </w:numPr>
      <w:tabs>
        <w:tab w:val="clear" w:pos="567"/>
        <w:tab w:val="num" w:pos="283"/>
      </w:tabs>
      <w:ind w:left="283" w:hanging="283"/>
    </w:pPr>
  </w:style>
  <w:style w:type="paragraph" w:customStyle="1" w:styleId="Dash">
    <w:name w:val="Dash"/>
    <w:basedOn w:val="Normal"/>
    <w:rsid w:val="00BF20BF"/>
    <w:pPr>
      <w:numPr>
        <w:ilvl w:val="2"/>
        <w:numId w:val="3"/>
      </w:numPr>
      <w:tabs>
        <w:tab w:val="clear" w:pos="850"/>
        <w:tab w:val="num" w:pos="567"/>
      </w:tabs>
      <w:ind w:left="567" w:hanging="284"/>
    </w:pPr>
  </w:style>
  <w:style w:type="paragraph" w:customStyle="1" w:styleId="DoubleDot">
    <w:name w:val="Double Dot"/>
    <w:basedOn w:val="Normal"/>
    <w:rsid w:val="00BF20BF"/>
    <w:pPr>
      <w:numPr>
        <w:numId w:val="4"/>
      </w:numPr>
      <w:tabs>
        <w:tab w:val="clear" w:pos="567"/>
        <w:tab w:val="num" w:pos="850"/>
      </w:tabs>
      <w:ind w:left="850" w:hanging="283"/>
    </w:pPr>
  </w:style>
  <w:style w:type="paragraph" w:customStyle="1" w:styleId="OutlineNumbered1">
    <w:name w:val="Outline Numbered 1"/>
    <w:basedOn w:val="Normal"/>
    <w:rsid w:val="00BF20BF"/>
    <w:pPr>
      <w:numPr>
        <w:ilvl w:val="1"/>
        <w:numId w:val="4"/>
      </w:numPr>
      <w:tabs>
        <w:tab w:val="clear" w:pos="1134"/>
        <w:tab w:val="num" w:pos="567"/>
      </w:tabs>
      <w:ind w:left="567"/>
    </w:pPr>
  </w:style>
  <w:style w:type="paragraph" w:customStyle="1" w:styleId="OutlineNumbered2">
    <w:name w:val="Outline Numbered 2"/>
    <w:basedOn w:val="Normal"/>
    <w:rsid w:val="00BF20BF"/>
    <w:pPr>
      <w:numPr>
        <w:ilvl w:val="2"/>
        <w:numId w:val="4"/>
      </w:numPr>
      <w:tabs>
        <w:tab w:val="clear" w:pos="1701"/>
        <w:tab w:val="num" w:pos="1134"/>
      </w:tabs>
      <w:ind w:left="1134"/>
    </w:pPr>
  </w:style>
  <w:style w:type="paragraph" w:customStyle="1" w:styleId="OutlineNumbered3">
    <w:name w:val="Outline Numbered 3"/>
    <w:basedOn w:val="Normal"/>
    <w:rsid w:val="00BF20BF"/>
    <w:pPr>
      <w:numPr>
        <w:numId w:val="5"/>
      </w:numPr>
      <w:jc w:val="both"/>
    </w:pPr>
  </w:style>
  <w:style w:type="paragraph" w:customStyle="1" w:styleId="AlphaParagraph">
    <w:name w:val="Alpha Paragraph"/>
    <w:basedOn w:val="Normal"/>
    <w:rsid w:val="00BF20BF"/>
  </w:style>
  <w:style w:type="paragraph" w:customStyle="1" w:styleId="AppendixHeading">
    <w:name w:val="Appendix Heading"/>
    <w:basedOn w:val="HeadingBase"/>
    <w:next w:val="Normal"/>
    <w:rsid w:val="00BF20BF"/>
    <w:pPr>
      <w:spacing w:before="720" w:after="360"/>
      <w:outlineLvl w:val="0"/>
    </w:pPr>
    <w:rPr>
      <w:rFonts w:ascii="Arial Bold" w:hAnsi="Arial Bold"/>
      <w:b/>
      <w:smallCaps/>
      <w:sz w:val="36"/>
      <w:szCs w:val="36"/>
    </w:rPr>
  </w:style>
  <w:style w:type="character" w:customStyle="1" w:styleId="Bold">
    <w:name w:val="Bold"/>
    <w:rsid w:val="00BF20BF"/>
    <w:rPr>
      <w:b/>
    </w:rPr>
  </w:style>
  <w:style w:type="paragraph" w:customStyle="1" w:styleId="BoxHeading">
    <w:name w:val="Box Heading"/>
    <w:basedOn w:val="HeadingBase"/>
    <w:next w:val="BoxText"/>
    <w:rsid w:val="00BF20BF"/>
    <w:pPr>
      <w:spacing w:before="120" w:after="120"/>
    </w:pPr>
    <w:rPr>
      <w:b/>
      <w:sz w:val="22"/>
    </w:rPr>
  </w:style>
  <w:style w:type="paragraph" w:customStyle="1" w:styleId="BoxText">
    <w:name w:val="Box Text"/>
    <w:basedOn w:val="BoxTextBase"/>
    <w:rsid w:val="00BF20BF"/>
  </w:style>
  <w:style w:type="paragraph" w:customStyle="1" w:styleId="BoxTextBase">
    <w:name w:val="Box Text Base"/>
    <w:basedOn w:val="Normal"/>
    <w:rsid w:val="00BF20BF"/>
    <w:pPr>
      <w:numPr>
        <w:numId w:val="6"/>
      </w:numPr>
      <w:tabs>
        <w:tab w:val="clear" w:pos="283"/>
      </w:tabs>
      <w:spacing w:before="120" w:after="120"/>
      <w:ind w:left="0" w:firstLine="0"/>
    </w:pPr>
  </w:style>
  <w:style w:type="paragraph" w:customStyle="1" w:styleId="ChartandTableFootnoteAlpha">
    <w:name w:val="Chart and Table Footnote Alpha"/>
    <w:rsid w:val="00BF20BF"/>
    <w:pPr>
      <w:tabs>
        <w:tab w:val="num" w:pos="851"/>
      </w:tabs>
      <w:ind w:left="284" w:hanging="284"/>
    </w:pPr>
    <w:rPr>
      <w:rFonts w:ascii="Arial" w:hAnsi="Arial"/>
      <w:color w:val="000000"/>
      <w:sz w:val="16"/>
      <w:szCs w:val="16"/>
    </w:rPr>
  </w:style>
  <w:style w:type="paragraph" w:customStyle="1" w:styleId="CAR-Logo">
    <w:name w:val="CAR-Logo"/>
    <w:basedOn w:val="Normal"/>
    <w:next w:val="Normal"/>
    <w:rsid w:val="00BF20BF"/>
    <w:pPr>
      <w:keepNext/>
      <w:spacing w:after="0" w:line="240" w:lineRule="auto"/>
      <w:jc w:val="center"/>
    </w:pPr>
    <w:rPr>
      <w:rFonts w:ascii="Arial" w:hAnsi="Arial"/>
      <w:color w:val="000080"/>
    </w:rPr>
  </w:style>
  <w:style w:type="paragraph" w:customStyle="1" w:styleId="ChartMainHeading">
    <w:name w:val="Chart Main Heading"/>
    <w:basedOn w:val="HeadingBase"/>
    <w:next w:val="ChartGraphic"/>
    <w:rsid w:val="00BF20BF"/>
    <w:pPr>
      <w:spacing w:after="20"/>
      <w:jc w:val="center"/>
    </w:pPr>
    <w:rPr>
      <w:b/>
      <w:sz w:val="22"/>
    </w:rPr>
  </w:style>
  <w:style w:type="paragraph" w:customStyle="1" w:styleId="ChartGraphic">
    <w:name w:val="Chart Graphic"/>
    <w:basedOn w:val="HeadingBase"/>
    <w:next w:val="Normal"/>
    <w:rsid w:val="00BF20BF"/>
    <w:pPr>
      <w:jc w:val="center"/>
    </w:pPr>
  </w:style>
  <w:style w:type="paragraph" w:customStyle="1" w:styleId="ChartorTableNote">
    <w:name w:val="Chart or Table Note"/>
    <w:next w:val="Normal"/>
    <w:rsid w:val="00BF20BF"/>
    <w:pPr>
      <w:tabs>
        <w:tab w:val="left" w:pos="240"/>
      </w:tabs>
      <w:ind w:left="240" w:hanging="240"/>
    </w:pPr>
    <w:rPr>
      <w:rFonts w:ascii="Arial" w:hAnsi="Arial"/>
      <w:color w:val="000000"/>
      <w:sz w:val="16"/>
      <w:szCs w:val="24"/>
    </w:rPr>
  </w:style>
  <w:style w:type="paragraph" w:customStyle="1" w:styleId="ChartSecondHeading">
    <w:name w:val="Chart Second Heading"/>
    <w:basedOn w:val="HeadingBase"/>
    <w:next w:val="ChartGraphic"/>
    <w:rsid w:val="00BF20BF"/>
    <w:pPr>
      <w:spacing w:after="20"/>
      <w:jc w:val="center"/>
    </w:pPr>
  </w:style>
  <w:style w:type="paragraph" w:customStyle="1" w:styleId="Classification">
    <w:name w:val="Classification"/>
    <w:basedOn w:val="HeadingBase"/>
    <w:next w:val="Footer"/>
    <w:rsid w:val="00BF20BF"/>
    <w:pPr>
      <w:spacing w:after="120"/>
      <w:jc w:val="center"/>
    </w:pPr>
    <w:rPr>
      <w:b/>
      <w:smallCaps/>
    </w:rPr>
  </w:style>
  <w:style w:type="paragraph" w:customStyle="1" w:styleId="ContentsHeading">
    <w:name w:val="Contents Heading"/>
    <w:basedOn w:val="HeadingBase"/>
    <w:next w:val="Normal"/>
    <w:rsid w:val="00BF20BF"/>
    <w:pPr>
      <w:spacing w:after="360"/>
    </w:pPr>
    <w:rPr>
      <w:smallCaps/>
      <w:sz w:val="36"/>
      <w:szCs w:val="36"/>
    </w:rPr>
  </w:style>
  <w:style w:type="paragraph" w:customStyle="1" w:styleId="CAR-CoverMain">
    <w:name w:val="CAR-CoverMain"/>
    <w:basedOn w:val="Normal"/>
    <w:next w:val="Normal"/>
    <w:rsid w:val="00BF20BF"/>
    <w:pPr>
      <w:keepNext/>
      <w:spacing w:before="2000" w:after="480" w:line="240" w:lineRule="auto"/>
      <w:jc w:val="center"/>
    </w:pPr>
    <w:rPr>
      <w:rFonts w:ascii="Arial" w:hAnsi="Arial"/>
      <w:b/>
      <w:color w:val="000080"/>
      <w:sz w:val="48"/>
    </w:rPr>
  </w:style>
  <w:style w:type="paragraph" w:customStyle="1" w:styleId="CAR-CoverSub">
    <w:name w:val="CAR-CoverSub"/>
    <w:basedOn w:val="Normal"/>
    <w:rsid w:val="00BF20BF"/>
    <w:pPr>
      <w:keepNext/>
      <w:spacing w:before="1440" w:after="360" w:line="240" w:lineRule="auto"/>
      <w:jc w:val="center"/>
    </w:pPr>
    <w:rPr>
      <w:rFonts w:ascii="Arial" w:hAnsi="Arial"/>
      <w:color w:val="000080"/>
      <w:sz w:val="36"/>
    </w:rPr>
  </w:style>
  <w:style w:type="paragraph" w:customStyle="1" w:styleId="FooterCentered">
    <w:name w:val="Footer Centered"/>
    <w:basedOn w:val="Footer"/>
    <w:rsid w:val="00BF20BF"/>
    <w:pPr>
      <w:jc w:val="center"/>
    </w:pPr>
  </w:style>
  <w:style w:type="paragraph" w:customStyle="1" w:styleId="FooterEven">
    <w:name w:val="Footer Even"/>
    <w:basedOn w:val="Footer"/>
    <w:rsid w:val="00BF20BF"/>
  </w:style>
  <w:style w:type="paragraph" w:customStyle="1" w:styleId="FooterOdd">
    <w:name w:val="Footer Odd"/>
    <w:basedOn w:val="Footer"/>
    <w:rsid w:val="00BF20BF"/>
    <w:pPr>
      <w:jc w:val="right"/>
    </w:pPr>
  </w:style>
  <w:style w:type="character" w:customStyle="1" w:styleId="FramedFooter">
    <w:name w:val="Framed Footer"/>
    <w:rsid w:val="00BF20BF"/>
    <w:rPr>
      <w:rFonts w:ascii="Arial" w:hAnsi="Arial"/>
      <w:sz w:val="18"/>
    </w:rPr>
  </w:style>
  <w:style w:type="character" w:customStyle="1" w:styleId="FramedHeader">
    <w:name w:val="Framed Header"/>
    <w:rsid w:val="00BF20BF"/>
    <w:rPr>
      <w:rFonts w:ascii="Arial" w:hAnsi="Arial"/>
      <w:dstrike w:val="0"/>
      <w:color w:val="auto"/>
      <w:sz w:val="18"/>
      <w:vertAlign w:val="baseline"/>
    </w:rPr>
  </w:style>
  <w:style w:type="paragraph" w:customStyle="1" w:styleId="HeaderEven">
    <w:name w:val="Header Even"/>
    <w:basedOn w:val="Header"/>
    <w:rsid w:val="00BF20BF"/>
  </w:style>
  <w:style w:type="paragraph" w:customStyle="1" w:styleId="HeaderOdd">
    <w:name w:val="Header Odd"/>
    <w:basedOn w:val="Header"/>
    <w:rsid w:val="00BF20BF"/>
    <w:pPr>
      <w:jc w:val="right"/>
    </w:pPr>
  </w:style>
  <w:style w:type="paragraph" w:customStyle="1" w:styleId="RecommendationHeading">
    <w:name w:val="Recommendation Heading"/>
    <w:basedOn w:val="HeadingBase"/>
    <w:next w:val="RecommendationText"/>
    <w:rsid w:val="00BF20BF"/>
    <w:pPr>
      <w:spacing w:after="240"/>
    </w:pPr>
    <w:rPr>
      <w:b/>
      <w:sz w:val="22"/>
    </w:rPr>
  </w:style>
  <w:style w:type="paragraph" w:customStyle="1" w:styleId="RecommendationText">
    <w:name w:val="Recommendation Text"/>
    <w:basedOn w:val="RecommendationBaseText"/>
    <w:rsid w:val="00BF20BF"/>
    <w:rPr>
      <w:i/>
    </w:rPr>
  </w:style>
  <w:style w:type="paragraph" w:customStyle="1" w:styleId="RecommendationBaseText">
    <w:name w:val="Recommendation Base Text"/>
    <w:basedOn w:val="Normal"/>
    <w:rsid w:val="00BF20BF"/>
  </w:style>
  <w:style w:type="paragraph" w:customStyle="1" w:styleId="TableTextBase">
    <w:name w:val="Table Text Base"/>
    <w:rsid w:val="00BF20BF"/>
    <w:pPr>
      <w:spacing w:before="40" w:after="40"/>
    </w:pPr>
    <w:rPr>
      <w:rFonts w:ascii="Arial" w:hAnsi="Arial"/>
      <w:color w:val="000000"/>
      <w:sz w:val="16"/>
      <w:szCs w:val="24"/>
    </w:rPr>
  </w:style>
  <w:style w:type="paragraph" w:customStyle="1" w:styleId="TableColumnHeadingCentred">
    <w:name w:val="Table Column Heading Centred"/>
    <w:basedOn w:val="TableColumnHeadingBase"/>
    <w:rsid w:val="00BF20BF"/>
    <w:pPr>
      <w:jc w:val="center"/>
    </w:pPr>
  </w:style>
  <w:style w:type="paragraph" w:customStyle="1" w:styleId="TableColumnHeadingBase">
    <w:name w:val="Table Column Heading Base"/>
    <w:basedOn w:val="Normal"/>
    <w:rsid w:val="00BF20BF"/>
    <w:pPr>
      <w:spacing w:before="40" w:after="40" w:line="240" w:lineRule="auto"/>
    </w:pPr>
    <w:rPr>
      <w:rFonts w:ascii="Arial" w:hAnsi="Arial"/>
      <w:b/>
      <w:color w:val="000080"/>
      <w:sz w:val="16"/>
    </w:rPr>
  </w:style>
  <w:style w:type="paragraph" w:customStyle="1" w:styleId="TableColumnHeadingLeft">
    <w:name w:val="Table Column Heading Left"/>
    <w:basedOn w:val="TableColumnHeadingBase"/>
    <w:rsid w:val="00BF20BF"/>
  </w:style>
  <w:style w:type="paragraph" w:customStyle="1" w:styleId="TableColumnHeadingRight">
    <w:name w:val="Table Column Heading Right"/>
    <w:basedOn w:val="TableColumnHeadingBase"/>
    <w:rsid w:val="00BF20BF"/>
    <w:pPr>
      <w:jc w:val="right"/>
    </w:pPr>
  </w:style>
  <w:style w:type="paragraph" w:customStyle="1" w:styleId="TableGraphic">
    <w:name w:val="Table Graphic"/>
    <w:basedOn w:val="HeadingBase"/>
    <w:next w:val="Normal"/>
    <w:rsid w:val="00BF20BF"/>
    <w:pPr>
      <w:spacing w:after="20"/>
      <w:ind w:right="-113"/>
    </w:pPr>
  </w:style>
  <w:style w:type="paragraph" w:customStyle="1" w:styleId="TableMainHeading">
    <w:name w:val="Table Main Heading"/>
    <w:basedOn w:val="HeadingBase"/>
    <w:next w:val="TableGraphic"/>
    <w:rsid w:val="00172C18"/>
    <w:pPr>
      <w:spacing w:before="240" w:after="60"/>
    </w:pPr>
    <w:rPr>
      <w:b/>
      <w:sz w:val="22"/>
    </w:rPr>
  </w:style>
  <w:style w:type="paragraph" w:customStyle="1" w:styleId="TableMainHeadingContd">
    <w:name w:val="Table Main Heading Contd"/>
    <w:basedOn w:val="HeadingBase"/>
    <w:next w:val="TableGraphic"/>
    <w:rsid w:val="00BF20BF"/>
    <w:pPr>
      <w:pageBreakBefore/>
      <w:spacing w:after="20"/>
    </w:pPr>
    <w:rPr>
      <w:b/>
      <w:sz w:val="22"/>
    </w:rPr>
  </w:style>
  <w:style w:type="paragraph" w:customStyle="1" w:styleId="TableSecondHeading">
    <w:name w:val="Table Second Heading"/>
    <w:basedOn w:val="HeadingBase"/>
    <w:next w:val="TableGraphic"/>
    <w:rsid w:val="00BF20BF"/>
    <w:pPr>
      <w:spacing w:after="20"/>
    </w:pPr>
  </w:style>
  <w:style w:type="paragraph" w:customStyle="1" w:styleId="TableTextCentered">
    <w:name w:val="Table Text Centered"/>
    <w:basedOn w:val="TableTextBase"/>
    <w:rsid w:val="00BF20BF"/>
    <w:pPr>
      <w:jc w:val="center"/>
    </w:pPr>
  </w:style>
  <w:style w:type="paragraph" w:customStyle="1" w:styleId="TableTextIndented">
    <w:name w:val="Table Text Indented"/>
    <w:basedOn w:val="TableTextBase"/>
    <w:rsid w:val="00BF20BF"/>
    <w:pPr>
      <w:ind w:left="284"/>
    </w:pPr>
  </w:style>
  <w:style w:type="paragraph" w:customStyle="1" w:styleId="TableTextLeft">
    <w:name w:val="Table Text Left"/>
    <w:basedOn w:val="TableTextBase"/>
    <w:rsid w:val="00BF20BF"/>
  </w:style>
  <w:style w:type="paragraph" w:customStyle="1" w:styleId="TableTextRight">
    <w:name w:val="Table Text Right"/>
    <w:basedOn w:val="TableTextBase"/>
    <w:rsid w:val="00BF20BF"/>
    <w:pPr>
      <w:jc w:val="right"/>
    </w:pPr>
  </w:style>
  <w:style w:type="paragraph" w:styleId="TOC1">
    <w:name w:val="toc 1"/>
    <w:basedOn w:val="HeadingBase"/>
    <w:next w:val="Normal"/>
    <w:uiPriority w:val="39"/>
    <w:rsid w:val="000450F5"/>
    <w:pPr>
      <w:tabs>
        <w:tab w:val="right" w:leader="dot" w:pos="7655"/>
      </w:tabs>
      <w:spacing w:before="120"/>
      <w:ind w:right="851"/>
    </w:pPr>
    <w:rPr>
      <w:rFonts w:ascii="Arial Bold" w:hAnsi="Arial Bold"/>
      <w:b/>
      <w:smallCaps/>
      <w:szCs w:val="22"/>
    </w:rPr>
  </w:style>
  <w:style w:type="paragraph" w:styleId="TOC2">
    <w:name w:val="toc 2"/>
    <w:basedOn w:val="HeadingBase"/>
    <w:next w:val="Normal"/>
    <w:uiPriority w:val="39"/>
    <w:rsid w:val="000450F5"/>
    <w:pPr>
      <w:tabs>
        <w:tab w:val="right" w:leader="dot" w:pos="7655"/>
      </w:tabs>
      <w:spacing w:before="40" w:after="20"/>
      <w:ind w:right="851"/>
    </w:pPr>
    <w:rPr>
      <w:color w:val="000000"/>
      <w:sz w:val="22"/>
    </w:rPr>
  </w:style>
  <w:style w:type="paragraph" w:styleId="TOC3">
    <w:name w:val="toc 3"/>
    <w:basedOn w:val="Normal"/>
    <w:next w:val="Normal"/>
    <w:uiPriority w:val="39"/>
    <w:rsid w:val="000450F5"/>
    <w:pPr>
      <w:tabs>
        <w:tab w:val="right" w:leader="dot" w:pos="7655"/>
      </w:tabs>
      <w:spacing w:before="20" w:after="0" w:line="240" w:lineRule="auto"/>
      <w:ind w:left="284" w:right="851"/>
    </w:pPr>
    <w:rPr>
      <w:rFonts w:ascii="Arial" w:hAnsi="Arial"/>
      <w:sz w:val="22"/>
    </w:rPr>
  </w:style>
  <w:style w:type="paragraph" w:styleId="TOC4">
    <w:name w:val="toc 4"/>
    <w:basedOn w:val="Normal"/>
    <w:next w:val="Normal"/>
    <w:semiHidden/>
    <w:rsid w:val="00BF20BF"/>
    <w:pPr>
      <w:numPr>
        <w:numId w:val="8"/>
      </w:numPr>
      <w:tabs>
        <w:tab w:val="right" w:leader="dot" w:pos="7700"/>
      </w:tabs>
      <w:spacing w:after="0" w:line="240" w:lineRule="auto"/>
      <w:ind w:right="851"/>
    </w:pPr>
  </w:style>
  <w:style w:type="character" w:customStyle="1" w:styleId="Italic">
    <w:name w:val="Italic"/>
    <w:rsid w:val="00BF20BF"/>
    <w:rPr>
      <w:i/>
    </w:rPr>
  </w:style>
  <w:style w:type="paragraph" w:customStyle="1" w:styleId="OneLevelNumberedParagraph">
    <w:name w:val="One Level Numbered Paragraph"/>
    <w:basedOn w:val="Normal"/>
    <w:rsid w:val="00BF20BF"/>
    <w:pPr>
      <w:numPr>
        <w:numId w:val="7"/>
      </w:numPr>
      <w:tabs>
        <w:tab w:val="clear" w:pos="283"/>
        <w:tab w:val="num" w:pos="567"/>
      </w:tabs>
      <w:ind w:left="567" w:hanging="567"/>
    </w:pPr>
  </w:style>
  <w:style w:type="paragraph" w:customStyle="1" w:styleId="BoxBullet">
    <w:name w:val="Box Bullet"/>
    <w:basedOn w:val="BoxTextBase"/>
    <w:rsid w:val="00BF20BF"/>
    <w:pPr>
      <w:numPr>
        <w:ilvl w:val="1"/>
        <w:numId w:val="7"/>
      </w:numPr>
      <w:tabs>
        <w:tab w:val="clear" w:pos="567"/>
        <w:tab w:val="num" w:pos="283"/>
      </w:tabs>
      <w:ind w:left="283" w:hanging="283"/>
    </w:pPr>
  </w:style>
  <w:style w:type="paragraph" w:customStyle="1" w:styleId="BoxDash">
    <w:name w:val="Box Dash"/>
    <w:basedOn w:val="Normal"/>
    <w:rsid w:val="00BF20BF"/>
    <w:pPr>
      <w:numPr>
        <w:ilvl w:val="2"/>
        <w:numId w:val="7"/>
      </w:numPr>
      <w:tabs>
        <w:tab w:val="clear" w:pos="850"/>
        <w:tab w:val="num" w:pos="567"/>
      </w:tabs>
      <w:ind w:left="567" w:hanging="284"/>
    </w:pPr>
  </w:style>
  <w:style w:type="paragraph" w:customStyle="1" w:styleId="BoxDoubleDot">
    <w:name w:val="Box Double Dot"/>
    <w:basedOn w:val="BoxTextBase"/>
    <w:rsid w:val="00BF20BF"/>
    <w:pPr>
      <w:numPr>
        <w:numId w:val="9"/>
      </w:numPr>
      <w:tabs>
        <w:tab w:val="clear" w:pos="283"/>
        <w:tab w:val="num" w:pos="850"/>
      </w:tabs>
      <w:ind w:left="850"/>
    </w:pPr>
  </w:style>
  <w:style w:type="paragraph" w:customStyle="1" w:styleId="RecommendationBullet">
    <w:name w:val="Recommendation Bullet"/>
    <w:basedOn w:val="RecommendationBaseText"/>
    <w:rsid w:val="00BF20BF"/>
    <w:pPr>
      <w:numPr>
        <w:ilvl w:val="1"/>
        <w:numId w:val="9"/>
      </w:numPr>
      <w:tabs>
        <w:tab w:val="clear" w:pos="567"/>
        <w:tab w:val="num" w:pos="283"/>
      </w:tabs>
      <w:ind w:left="283" w:hanging="283"/>
    </w:pPr>
  </w:style>
  <w:style w:type="paragraph" w:customStyle="1" w:styleId="RecommendationDash">
    <w:name w:val="Recommendation Dash"/>
    <w:basedOn w:val="RecommendationBaseText"/>
    <w:rsid w:val="00BF20BF"/>
    <w:pPr>
      <w:numPr>
        <w:ilvl w:val="2"/>
        <w:numId w:val="9"/>
      </w:numPr>
      <w:tabs>
        <w:tab w:val="clear" w:pos="850"/>
        <w:tab w:val="num" w:pos="567"/>
      </w:tabs>
      <w:ind w:left="567" w:hanging="284"/>
    </w:pPr>
  </w:style>
  <w:style w:type="paragraph" w:customStyle="1" w:styleId="RecommendationDoubleDot">
    <w:name w:val="Recommendation Double Dot"/>
    <w:basedOn w:val="RecommendationBaseText"/>
    <w:rsid w:val="00BF20BF"/>
    <w:pPr>
      <w:tabs>
        <w:tab w:val="num" w:pos="850"/>
      </w:tabs>
      <w:ind w:left="850" w:hanging="283"/>
    </w:pPr>
  </w:style>
  <w:style w:type="character" w:customStyle="1" w:styleId="Boldanditalic">
    <w:name w:val="Bold and italic"/>
    <w:rsid w:val="00BF20BF"/>
    <w:rPr>
      <w:b/>
      <w:i/>
    </w:rPr>
  </w:style>
  <w:style w:type="paragraph" w:customStyle="1" w:styleId="Normalnumbered">
    <w:name w:val="Normal numbered"/>
    <w:basedOn w:val="Normal"/>
    <w:rsid w:val="00BF20BF"/>
    <w:pPr>
      <w:numPr>
        <w:numId w:val="13"/>
      </w:numPr>
      <w:jc w:val="both"/>
    </w:pPr>
  </w:style>
  <w:style w:type="paragraph" w:customStyle="1" w:styleId="Romannumeral">
    <w:name w:val="Roman numeral"/>
    <w:basedOn w:val="Normal"/>
    <w:rsid w:val="00BF20BF"/>
    <w:pPr>
      <w:numPr>
        <w:numId w:val="10"/>
      </w:numPr>
    </w:pPr>
  </w:style>
  <w:style w:type="paragraph" w:customStyle="1" w:styleId="AlphaLevel3">
    <w:name w:val="Alpha Level 3"/>
    <w:basedOn w:val="Normal"/>
    <w:rsid w:val="00BF20BF"/>
    <w:pPr>
      <w:numPr>
        <w:numId w:val="11"/>
      </w:numPr>
    </w:pPr>
  </w:style>
  <w:style w:type="paragraph" w:customStyle="1" w:styleId="AlphaLevel4">
    <w:name w:val="Alpha Level 4"/>
    <w:basedOn w:val="Normal"/>
    <w:rsid w:val="00BF20BF"/>
    <w:pPr>
      <w:numPr>
        <w:numId w:val="12"/>
      </w:numPr>
      <w:jc w:val="both"/>
    </w:pPr>
  </w:style>
  <w:style w:type="paragraph" w:customStyle="1" w:styleId="NormalJustified">
    <w:name w:val="Normal Justified"/>
    <w:basedOn w:val="Normal"/>
    <w:rsid w:val="00BF20BF"/>
    <w:pPr>
      <w:jc w:val="both"/>
    </w:pPr>
  </w:style>
  <w:style w:type="paragraph" w:customStyle="1" w:styleId="RomanNumeralJustified">
    <w:name w:val="Roman Numeral Justified"/>
    <w:basedOn w:val="Romannumeral"/>
    <w:rsid w:val="00BF20BF"/>
    <w:pPr>
      <w:numPr>
        <w:numId w:val="0"/>
      </w:numPr>
      <w:tabs>
        <w:tab w:val="left" w:pos="1134"/>
      </w:tabs>
      <w:jc w:val="both"/>
    </w:pPr>
  </w:style>
  <w:style w:type="paragraph" w:customStyle="1" w:styleId="RomannumeralJustified0">
    <w:name w:val="Roman numeral Justified"/>
    <w:basedOn w:val="Romannumeral"/>
    <w:rsid w:val="00BF20BF"/>
    <w:pPr>
      <w:numPr>
        <w:numId w:val="0"/>
      </w:numPr>
      <w:jc w:val="both"/>
    </w:pPr>
  </w:style>
  <w:style w:type="paragraph" w:customStyle="1" w:styleId="Style1">
    <w:name w:val="Style1"/>
    <w:basedOn w:val="Normal"/>
    <w:rsid w:val="00BF20BF"/>
    <w:pPr>
      <w:numPr>
        <w:numId w:val="15"/>
      </w:numPr>
    </w:pPr>
  </w:style>
  <w:style w:type="paragraph" w:customStyle="1" w:styleId="CAR-Indent-Alpha-Upper">
    <w:name w:val="CAR-Indent-Alpha-Upper"/>
    <w:rsid w:val="00BF20BF"/>
    <w:pPr>
      <w:numPr>
        <w:numId w:val="14"/>
      </w:numPr>
      <w:spacing w:after="240" w:line="260" w:lineRule="exact"/>
    </w:pPr>
    <w:rPr>
      <w:rFonts w:ascii="Book Antiqua" w:hAnsi="Book Antiqua"/>
      <w:sz w:val="24"/>
      <w:szCs w:val="24"/>
      <w:lang w:eastAsia="en-US"/>
    </w:rPr>
  </w:style>
  <w:style w:type="paragraph" w:customStyle="1" w:styleId="CAR-TableText-Left">
    <w:name w:val="CAR-TableText-Left"/>
    <w:rsid w:val="004677CD"/>
    <w:pPr>
      <w:spacing w:before="60" w:after="60"/>
    </w:pPr>
    <w:rPr>
      <w:rFonts w:ascii="Arial" w:hAnsi="Arial"/>
      <w:color w:val="000000" w:themeColor="text1"/>
      <w:sz w:val="16"/>
      <w:szCs w:val="24"/>
      <w:lang w:eastAsia="en-US"/>
    </w:rPr>
  </w:style>
  <w:style w:type="paragraph" w:customStyle="1" w:styleId="CAR-Indent-Alpha-Lower0">
    <w:name w:val="CAR-Indent-Alpha-Lower"/>
    <w:rsid w:val="00BF20BF"/>
    <w:pPr>
      <w:numPr>
        <w:numId w:val="16"/>
      </w:numPr>
      <w:spacing w:after="240" w:line="260" w:lineRule="exact"/>
    </w:pPr>
    <w:rPr>
      <w:rFonts w:ascii="Book Antiqua" w:hAnsi="Book Antiqua"/>
      <w:sz w:val="24"/>
      <w:szCs w:val="24"/>
      <w:lang w:eastAsia="en-US"/>
    </w:rPr>
  </w:style>
  <w:style w:type="paragraph" w:customStyle="1" w:styleId="CAR-Indent-Number">
    <w:name w:val="CAR-Indent-Number"/>
    <w:rsid w:val="00BF20BF"/>
    <w:pPr>
      <w:numPr>
        <w:numId w:val="17"/>
      </w:numPr>
      <w:spacing w:after="240" w:line="260" w:lineRule="exact"/>
      <w:jc w:val="both"/>
    </w:pPr>
    <w:rPr>
      <w:rFonts w:ascii="Book Antiqua" w:hAnsi="Book Antiqua"/>
      <w:sz w:val="24"/>
      <w:szCs w:val="24"/>
      <w:lang w:eastAsia="en-US"/>
    </w:rPr>
  </w:style>
  <w:style w:type="paragraph" w:customStyle="1" w:styleId="CAR-BodyText-Just">
    <w:name w:val="CAR-BodyText-Just"/>
    <w:rsid w:val="00BF20BF"/>
    <w:pPr>
      <w:spacing w:after="240" w:line="260" w:lineRule="exact"/>
      <w:jc w:val="both"/>
    </w:pPr>
    <w:rPr>
      <w:rFonts w:ascii="Book Antiqua" w:hAnsi="Book Antiqua"/>
      <w:color w:val="000000"/>
      <w:sz w:val="24"/>
      <w:szCs w:val="24"/>
      <w:lang w:eastAsia="en-US"/>
    </w:rPr>
  </w:style>
  <w:style w:type="paragraph" w:customStyle="1" w:styleId="CAR-Heading-1">
    <w:name w:val="CAR-Heading-1"/>
    <w:rsid w:val="00BF20BF"/>
    <w:pPr>
      <w:keepNext/>
      <w:spacing w:before="240" w:after="240"/>
    </w:pPr>
    <w:rPr>
      <w:rFonts w:ascii="Arial Bold" w:hAnsi="Arial Bold"/>
      <w:b/>
      <w:color w:val="000080"/>
      <w:kern w:val="32"/>
      <w:sz w:val="32"/>
      <w:szCs w:val="24"/>
      <w:lang w:eastAsia="en-US"/>
    </w:rPr>
  </w:style>
  <w:style w:type="paragraph" w:customStyle="1" w:styleId="CAR-BodyText-Left">
    <w:name w:val="CAR-BodyText-Left"/>
    <w:rsid w:val="004677CD"/>
    <w:pPr>
      <w:spacing w:after="240" w:line="260" w:lineRule="exact"/>
    </w:pPr>
    <w:rPr>
      <w:rFonts w:ascii="Book Antiqua" w:hAnsi="Book Antiqua"/>
      <w:color w:val="000000" w:themeColor="text1"/>
      <w:lang w:eastAsia="en-US"/>
    </w:rPr>
  </w:style>
  <w:style w:type="paragraph" w:customStyle="1" w:styleId="CAR-Bullet-1">
    <w:name w:val="CAR-Bullet-1"/>
    <w:rsid w:val="006E37E2"/>
    <w:pPr>
      <w:numPr>
        <w:numId w:val="18"/>
      </w:numPr>
      <w:spacing w:after="240" w:line="260" w:lineRule="exact"/>
    </w:pPr>
    <w:rPr>
      <w:rFonts w:ascii="Book Antiqua" w:hAnsi="Book Antiqua"/>
      <w:color w:val="000000"/>
      <w:lang w:eastAsia="en-US"/>
    </w:rPr>
  </w:style>
  <w:style w:type="paragraph" w:customStyle="1" w:styleId="CAR-Flush-Alpha-Lower">
    <w:name w:val="CAR-Flush-Alpha-Lower"/>
    <w:rsid w:val="006E37E2"/>
    <w:pPr>
      <w:numPr>
        <w:numId w:val="19"/>
      </w:numPr>
      <w:spacing w:after="180" w:line="260" w:lineRule="exact"/>
    </w:pPr>
    <w:rPr>
      <w:rFonts w:ascii="Book Antiqua" w:hAnsi="Book Antiqua"/>
      <w:lang w:eastAsia="en-US"/>
    </w:rPr>
  </w:style>
  <w:style w:type="paragraph" w:customStyle="1" w:styleId="CAR-Heading-2">
    <w:name w:val="CAR-Heading-2"/>
    <w:rsid w:val="00BF20BF"/>
    <w:pPr>
      <w:keepNext/>
      <w:spacing w:before="240" w:after="120"/>
    </w:pPr>
    <w:rPr>
      <w:rFonts w:ascii="Arial Bold" w:hAnsi="Arial Bold"/>
      <w:b/>
      <w:color w:val="000080"/>
      <w:sz w:val="28"/>
      <w:szCs w:val="24"/>
      <w:lang w:eastAsia="en-US"/>
    </w:rPr>
  </w:style>
  <w:style w:type="paragraph" w:customStyle="1" w:styleId="CoverTitleMain">
    <w:name w:val="Cover Title Main"/>
    <w:basedOn w:val="HeadingBase"/>
    <w:next w:val="Normal"/>
    <w:rsid w:val="00BF20BF"/>
    <w:pPr>
      <w:spacing w:before="480" w:after="480"/>
      <w:jc w:val="center"/>
    </w:pPr>
    <w:rPr>
      <w:b/>
      <w:sz w:val="48"/>
    </w:rPr>
  </w:style>
  <w:style w:type="paragraph" w:customStyle="1" w:styleId="CoverTitleSub">
    <w:name w:val="Cover Title Sub"/>
    <w:basedOn w:val="HeadingBase"/>
    <w:rsid w:val="00BF20BF"/>
    <w:pPr>
      <w:spacing w:before="1440" w:after="360"/>
      <w:jc w:val="center"/>
    </w:pPr>
    <w:rPr>
      <w:sz w:val="36"/>
    </w:rPr>
  </w:style>
  <w:style w:type="paragraph" w:customStyle="1" w:styleId="CAR-TableText-Right">
    <w:name w:val="CAR-TableText-Right"/>
    <w:rsid w:val="00A41A58"/>
    <w:pPr>
      <w:spacing w:before="60" w:after="60"/>
      <w:jc w:val="right"/>
    </w:pPr>
    <w:rPr>
      <w:rFonts w:ascii="Arial" w:hAnsi="Arial"/>
      <w:color w:val="000000" w:themeColor="text1"/>
      <w:sz w:val="16"/>
      <w:szCs w:val="24"/>
      <w:lang w:eastAsia="en-US"/>
    </w:rPr>
  </w:style>
  <w:style w:type="paragraph" w:styleId="Caption">
    <w:name w:val="caption"/>
    <w:basedOn w:val="Normal"/>
    <w:next w:val="Normal"/>
    <w:qFormat/>
    <w:rsid w:val="00BF20BF"/>
    <w:pPr>
      <w:spacing w:before="120" w:after="120"/>
    </w:pPr>
    <w:rPr>
      <w:b/>
      <w:bCs/>
    </w:rPr>
  </w:style>
  <w:style w:type="paragraph" w:customStyle="1" w:styleId="CAR-TableColHead-Centre">
    <w:name w:val="CAR-TableColHead-Centre"/>
    <w:rsid w:val="00BF20BF"/>
    <w:pPr>
      <w:spacing w:before="40" w:after="40"/>
      <w:jc w:val="center"/>
    </w:pPr>
    <w:rPr>
      <w:rFonts w:ascii="Arial" w:hAnsi="Arial"/>
      <w:b/>
      <w:color w:val="000080"/>
      <w:sz w:val="16"/>
      <w:szCs w:val="24"/>
      <w:lang w:eastAsia="en-US"/>
    </w:rPr>
  </w:style>
  <w:style w:type="paragraph" w:customStyle="1" w:styleId="CAR-TableColHead-Left">
    <w:name w:val="CAR-TableColHead-Left"/>
    <w:rsid w:val="004677CD"/>
    <w:pPr>
      <w:spacing w:before="60" w:after="60"/>
    </w:pPr>
    <w:rPr>
      <w:rFonts w:ascii="Arial Bold" w:hAnsi="Arial Bold"/>
      <w:b/>
      <w:color w:val="000080"/>
      <w:sz w:val="16"/>
      <w:szCs w:val="24"/>
      <w:lang w:eastAsia="en-US"/>
    </w:rPr>
  </w:style>
  <w:style w:type="paragraph" w:customStyle="1" w:styleId="CAR-TableColHead-Right">
    <w:name w:val="CAR-TableColHead-Right"/>
    <w:rsid w:val="004677CD"/>
    <w:pPr>
      <w:keepNext/>
      <w:spacing w:before="60" w:after="60"/>
      <w:jc w:val="right"/>
    </w:pPr>
    <w:rPr>
      <w:rFonts w:ascii="Arial" w:hAnsi="Arial"/>
      <w:b/>
      <w:color w:val="000080"/>
      <w:sz w:val="16"/>
      <w:szCs w:val="24"/>
      <w:lang w:eastAsia="en-US"/>
    </w:rPr>
  </w:style>
  <w:style w:type="paragraph" w:customStyle="1" w:styleId="CAR-TableMainHead">
    <w:name w:val="CAR-TableMainHead"/>
    <w:next w:val="Normal"/>
    <w:rsid w:val="00BF20BF"/>
    <w:pPr>
      <w:keepNext/>
      <w:spacing w:after="20"/>
    </w:pPr>
    <w:rPr>
      <w:rFonts w:ascii="Arial" w:hAnsi="Arial"/>
      <w:b/>
      <w:color w:val="000080"/>
      <w:sz w:val="22"/>
      <w:szCs w:val="24"/>
      <w:lang w:eastAsia="en-US"/>
    </w:rPr>
  </w:style>
  <w:style w:type="paragraph" w:customStyle="1" w:styleId="CAR-Heading-3">
    <w:name w:val="CAR-Heading-3"/>
    <w:rsid w:val="00BF20BF"/>
    <w:pPr>
      <w:keepNext/>
      <w:spacing w:before="40" w:after="40"/>
    </w:pPr>
    <w:rPr>
      <w:rFonts w:ascii="Arial Bold" w:hAnsi="Arial Bold"/>
      <w:color w:val="000080"/>
      <w:sz w:val="24"/>
      <w:szCs w:val="24"/>
      <w:lang w:eastAsia="en-US"/>
    </w:rPr>
  </w:style>
  <w:style w:type="paragraph" w:customStyle="1" w:styleId="CAR-Flush-Number">
    <w:name w:val="CAR-Flush-Number"/>
    <w:rsid w:val="004C4E54"/>
    <w:pPr>
      <w:numPr>
        <w:numId w:val="22"/>
      </w:numPr>
      <w:spacing w:after="240" w:line="260" w:lineRule="exact"/>
      <w:jc w:val="both"/>
    </w:pPr>
    <w:rPr>
      <w:rFonts w:ascii="Book Antiqua" w:hAnsi="Book Antiqua"/>
      <w:szCs w:val="24"/>
      <w:lang w:eastAsia="en-US"/>
    </w:rPr>
  </w:style>
  <w:style w:type="paragraph" w:customStyle="1" w:styleId="CAR-DecisionFoot-1">
    <w:name w:val="CAR-DecisionFoot-1"/>
    <w:rsid w:val="00BF20BF"/>
    <w:pPr>
      <w:spacing w:line="260" w:lineRule="exact"/>
    </w:pPr>
    <w:rPr>
      <w:rFonts w:ascii="Book Antiqua" w:hAnsi="Book Antiqua"/>
      <w:sz w:val="24"/>
      <w:szCs w:val="24"/>
      <w:lang w:eastAsia="en-US"/>
    </w:rPr>
  </w:style>
  <w:style w:type="paragraph" w:customStyle="1" w:styleId="CAR-Indent-Roman-1">
    <w:name w:val="CAR-Indent-Roman-1"/>
    <w:rsid w:val="004C4E54"/>
    <w:pPr>
      <w:numPr>
        <w:numId w:val="20"/>
      </w:numPr>
      <w:spacing w:after="240" w:line="260" w:lineRule="exact"/>
      <w:jc w:val="both"/>
    </w:pPr>
    <w:rPr>
      <w:rFonts w:ascii="Book Antiqua" w:hAnsi="Book Antiqua"/>
      <w:szCs w:val="24"/>
      <w:lang w:eastAsia="en-US"/>
    </w:rPr>
  </w:style>
  <w:style w:type="paragraph" w:customStyle="1" w:styleId="CAR-Heading-5">
    <w:name w:val="CAR-Heading-5"/>
    <w:rsid w:val="00BF20BF"/>
    <w:pPr>
      <w:spacing w:after="240"/>
      <w:jc w:val="center"/>
    </w:pPr>
    <w:rPr>
      <w:rFonts w:ascii="Arial Bold" w:hAnsi="Arial Bold"/>
      <w:b/>
      <w:color w:val="000080"/>
      <w:kern w:val="32"/>
      <w:sz w:val="28"/>
      <w:szCs w:val="24"/>
      <w:lang w:eastAsia="en-US"/>
    </w:rPr>
  </w:style>
  <w:style w:type="paragraph" w:customStyle="1" w:styleId="CAR-Heading-4">
    <w:name w:val="CAR-Heading-4"/>
    <w:rsid w:val="00BF20BF"/>
    <w:pPr>
      <w:spacing w:after="240"/>
    </w:pPr>
    <w:rPr>
      <w:rFonts w:ascii="Arial Bold" w:hAnsi="Arial Bold"/>
      <w:b/>
      <w:color w:val="000080"/>
      <w:sz w:val="22"/>
      <w:szCs w:val="24"/>
      <w:lang w:eastAsia="en-US"/>
    </w:rPr>
  </w:style>
  <w:style w:type="paragraph" w:customStyle="1" w:styleId="CAR-Flush-Alpha-Upper">
    <w:name w:val="CAR-Flush-Alpha-Upper"/>
    <w:rsid w:val="00BF20BF"/>
    <w:pPr>
      <w:numPr>
        <w:numId w:val="21"/>
      </w:numPr>
      <w:spacing w:after="240" w:line="260" w:lineRule="exact"/>
      <w:jc w:val="both"/>
    </w:pPr>
    <w:rPr>
      <w:rFonts w:ascii="Book Antiqua" w:hAnsi="Book Antiqua"/>
      <w:sz w:val="24"/>
      <w:szCs w:val="24"/>
      <w:lang w:eastAsia="en-US"/>
    </w:rPr>
  </w:style>
  <w:style w:type="paragraph" w:customStyle="1" w:styleId="CAR-DecisionFoot-2">
    <w:name w:val="CAR-DecisionFoot-2"/>
    <w:rsid w:val="00BF20BF"/>
    <w:pPr>
      <w:spacing w:line="260" w:lineRule="exact"/>
    </w:pPr>
    <w:rPr>
      <w:rFonts w:ascii="Book Antiqua" w:hAnsi="Book Antiqua"/>
      <w:b/>
      <w:sz w:val="24"/>
      <w:szCs w:val="24"/>
      <w:lang w:eastAsia="en-US"/>
    </w:rPr>
  </w:style>
  <w:style w:type="paragraph" w:customStyle="1" w:styleId="CAR-DecisionHead">
    <w:name w:val="CAR-DecisionHead"/>
    <w:rsid w:val="004C4E54"/>
    <w:pPr>
      <w:keepNext/>
      <w:keepLines/>
      <w:spacing w:before="240" w:after="60"/>
    </w:pPr>
    <w:rPr>
      <w:rFonts w:ascii="Arial" w:hAnsi="Arial"/>
      <w:b/>
      <w:szCs w:val="24"/>
      <w:lang w:eastAsia="en-US"/>
    </w:rPr>
  </w:style>
  <w:style w:type="paragraph" w:styleId="BodyText">
    <w:name w:val="Body Text"/>
    <w:basedOn w:val="Normal"/>
    <w:semiHidden/>
    <w:rsid w:val="00BF20BF"/>
    <w:pPr>
      <w:spacing w:before="360"/>
      <w:ind w:right="561"/>
      <w:jc w:val="both"/>
    </w:pPr>
  </w:style>
  <w:style w:type="paragraph" w:styleId="BalloonText">
    <w:name w:val="Balloon Text"/>
    <w:basedOn w:val="Normal"/>
    <w:semiHidden/>
    <w:rsid w:val="00BF20BF"/>
    <w:rPr>
      <w:rFonts w:ascii="Tahoma" w:hAnsi="Tahoma" w:cs="Tahoma"/>
      <w:sz w:val="16"/>
      <w:szCs w:val="16"/>
    </w:rPr>
  </w:style>
  <w:style w:type="paragraph" w:customStyle="1" w:styleId="Text-1">
    <w:name w:val="Text-1"/>
    <w:rsid w:val="00BF20BF"/>
    <w:pPr>
      <w:spacing w:before="240"/>
      <w:ind w:left="567"/>
      <w:jc w:val="both"/>
    </w:pPr>
    <w:rPr>
      <w:rFonts w:ascii="Palatino" w:hAnsi="Palatino"/>
      <w:sz w:val="24"/>
      <w:szCs w:val="24"/>
      <w:lang w:eastAsia="en-US"/>
    </w:rPr>
  </w:style>
  <w:style w:type="paragraph" w:customStyle="1" w:styleId="LDStandard1">
    <w:name w:val="LD_Standard1"/>
    <w:basedOn w:val="Normal"/>
    <w:rsid w:val="00BF20BF"/>
    <w:pPr>
      <w:keepNext/>
      <w:keepLines/>
      <w:numPr>
        <w:numId w:val="23"/>
      </w:numPr>
      <w:spacing w:before="120" w:after="60" w:line="240" w:lineRule="auto"/>
    </w:pPr>
    <w:rPr>
      <w:rFonts w:ascii="Arial" w:hAnsi="Arial" w:cs="Arial"/>
      <w:b/>
      <w:bCs/>
      <w:color w:val="auto"/>
      <w:sz w:val="22"/>
      <w:szCs w:val="22"/>
      <w:lang w:eastAsia="en-US"/>
    </w:rPr>
  </w:style>
  <w:style w:type="paragraph" w:customStyle="1" w:styleId="LDStandard2">
    <w:name w:val="LD_Standard2"/>
    <w:basedOn w:val="Normal"/>
    <w:rsid w:val="00BF20BF"/>
    <w:pPr>
      <w:numPr>
        <w:ilvl w:val="1"/>
        <w:numId w:val="23"/>
      </w:numPr>
      <w:spacing w:before="120" w:after="0" w:line="360" w:lineRule="auto"/>
      <w:jc w:val="both"/>
    </w:pPr>
    <w:rPr>
      <w:rFonts w:ascii="Arial" w:hAnsi="Arial" w:cs="Arial"/>
      <w:color w:val="auto"/>
      <w:sz w:val="22"/>
      <w:szCs w:val="22"/>
      <w:lang w:eastAsia="en-US"/>
    </w:rPr>
  </w:style>
  <w:style w:type="paragraph" w:customStyle="1" w:styleId="LDStandard3">
    <w:name w:val="LD_Standard3"/>
    <w:basedOn w:val="Normal"/>
    <w:rsid w:val="00BF20BF"/>
    <w:pPr>
      <w:numPr>
        <w:ilvl w:val="2"/>
        <w:numId w:val="23"/>
      </w:numPr>
      <w:spacing w:before="120" w:after="0" w:line="360" w:lineRule="auto"/>
      <w:jc w:val="both"/>
    </w:pPr>
    <w:rPr>
      <w:rFonts w:ascii="Arial" w:hAnsi="Arial" w:cs="Arial"/>
      <w:color w:val="auto"/>
      <w:sz w:val="22"/>
      <w:szCs w:val="22"/>
      <w:lang w:eastAsia="en-US"/>
    </w:rPr>
  </w:style>
  <w:style w:type="paragraph" w:customStyle="1" w:styleId="LDStandard4">
    <w:name w:val="LD_Standard4"/>
    <w:basedOn w:val="Normal"/>
    <w:rsid w:val="00BF20BF"/>
    <w:pPr>
      <w:numPr>
        <w:ilvl w:val="3"/>
        <w:numId w:val="23"/>
      </w:numPr>
      <w:spacing w:before="120" w:after="0" w:line="360" w:lineRule="auto"/>
      <w:jc w:val="both"/>
    </w:pPr>
    <w:rPr>
      <w:rFonts w:ascii="Arial" w:hAnsi="Arial" w:cs="Arial"/>
      <w:color w:val="auto"/>
      <w:sz w:val="22"/>
      <w:szCs w:val="22"/>
      <w:lang w:eastAsia="en-US"/>
    </w:rPr>
  </w:style>
  <w:style w:type="paragraph" w:customStyle="1" w:styleId="LDStandard5">
    <w:name w:val="LD_Standard5"/>
    <w:basedOn w:val="Normal"/>
    <w:rsid w:val="00BF20BF"/>
    <w:pPr>
      <w:numPr>
        <w:ilvl w:val="4"/>
        <w:numId w:val="23"/>
      </w:numPr>
      <w:spacing w:before="120" w:after="0" w:line="360" w:lineRule="auto"/>
      <w:jc w:val="both"/>
    </w:pPr>
    <w:rPr>
      <w:rFonts w:ascii="Arial" w:hAnsi="Arial" w:cs="Arial"/>
      <w:color w:val="auto"/>
      <w:sz w:val="22"/>
      <w:szCs w:val="22"/>
      <w:lang w:eastAsia="en-US"/>
    </w:rPr>
  </w:style>
  <w:style w:type="paragraph" w:customStyle="1" w:styleId="LDStandard6">
    <w:name w:val="LD_Standard6"/>
    <w:basedOn w:val="Normal"/>
    <w:rsid w:val="00BF20BF"/>
    <w:pPr>
      <w:numPr>
        <w:ilvl w:val="5"/>
        <w:numId w:val="23"/>
      </w:numPr>
      <w:spacing w:before="120" w:after="0" w:line="360" w:lineRule="auto"/>
      <w:jc w:val="both"/>
    </w:pPr>
    <w:rPr>
      <w:rFonts w:ascii="Arial" w:hAnsi="Arial" w:cs="Arial"/>
      <w:color w:val="auto"/>
      <w:sz w:val="22"/>
      <w:szCs w:val="22"/>
      <w:lang w:eastAsia="en-US"/>
    </w:rPr>
  </w:style>
  <w:style w:type="paragraph" w:customStyle="1" w:styleId="Level1fo">
    <w:name w:val="Level 1.fo"/>
    <w:basedOn w:val="Normal"/>
    <w:rsid w:val="00BF20BF"/>
    <w:pPr>
      <w:spacing w:before="240" w:after="0" w:line="240" w:lineRule="auto"/>
      <w:ind w:left="720"/>
    </w:pPr>
    <w:rPr>
      <w:rFonts w:ascii="Palatino" w:hAnsi="Palatino"/>
      <w:color w:val="auto"/>
      <w:sz w:val="22"/>
      <w:lang w:eastAsia="en-US"/>
    </w:rPr>
  </w:style>
  <w:style w:type="paragraph" w:customStyle="1" w:styleId="AlphaLower-2">
    <w:name w:val="AlphaLower-2"/>
    <w:rsid w:val="00BF20BF"/>
    <w:pPr>
      <w:numPr>
        <w:numId w:val="24"/>
      </w:numPr>
      <w:tabs>
        <w:tab w:val="left" w:pos="1418"/>
      </w:tabs>
      <w:spacing w:before="240"/>
      <w:jc w:val="both"/>
    </w:pPr>
    <w:rPr>
      <w:rFonts w:ascii="Palatino" w:hAnsi="Palatino"/>
      <w:sz w:val="24"/>
      <w:szCs w:val="24"/>
      <w:lang w:eastAsia="en-US"/>
    </w:rPr>
  </w:style>
  <w:style w:type="paragraph" w:customStyle="1" w:styleId="NumLarge-1">
    <w:name w:val="NumLarge-1"/>
    <w:link w:val="NumLarge-1Char"/>
    <w:qFormat/>
    <w:rsid w:val="00BF20BF"/>
    <w:pPr>
      <w:numPr>
        <w:numId w:val="25"/>
      </w:numPr>
      <w:spacing w:after="240" w:line="260" w:lineRule="exact"/>
      <w:jc w:val="both"/>
    </w:pPr>
    <w:rPr>
      <w:rFonts w:ascii="Book Antiqua" w:hAnsi="Book Antiqua"/>
      <w:sz w:val="24"/>
      <w:szCs w:val="24"/>
      <w:lang w:eastAsia="en-US"/>
    </w:rPr>
  </w:style>
  <w:style w:type="paragraph" w:customStyle="1" w:styleId="NumSmall-3">
    <w:name w:val="NumSmall-3"/>
    <w:rsid w:val="00BF20BF"/>
    <w:pPr>
      <w:numPr>
        <w:numId w:val="26"/>
      </w:numPr>
      <w:tabs>
        <w:tab w:val="clear" w:pos="2127"/>
        <w:tab w:val="left" w:pos="2126"/>
      </w:tabs>
      <w:spacing w:before="240"/>
      <w:jc w:val="both"/>
    </w:pPr>
    <w:rPr>
      <w:rFonts w:ascii="Palatino" w:hAnsi="Palatino"/>
      <w:sz w:val="24"/>
      <w:szCs w:val="24"/>
      <w:lang w:eastAsia="en-US"/>
    </w:rPr>
  </w:style>
  <w:style w:type="paragraph" w:customStyle="1" w:styleId="BodyText-3">
    <w:name w:val="BodyText-3"/>
    <w:rsid w:val="00BF20BF"/>
    <w:pPr>
      <w:spacing w:before="120"/>
      <w:ind w:left="1418"/>
      <w:jc w:val="both"/>
    </w:pPr>
    <w:rPr>
      <w:rFonts w:ascii="Palatino" w:hAnsi="Palatino"/>
      <w:sz w:val="24"/>
      <w:szCs w:val="24"/>
      <w:lang w:eastAsia="en-US"/>
    </w:rPr>
  </w:style>
  <w:style w:type="paragraph" w:customStyle="1" w:styleId="BodyText-1">
    <w:name w:val="BodyText-1"/>
    <w:rsid w:val="00BF20BF"/>
    <w:pPr>
      <w:spacing w:before="240"/>
      <w:jc w:val="both"/>
    </w:pPr>
    <w:rPr>
      <w:rFonts w:ascii="Palatino" w:hAnsi="Palatino"/>
      <w:sz w:val="24"/>
      <w:szCs w:val="24"/>
      <w:lang w:eastAsia="en-US"/>
    </w:rPr>
  </w:style>
  <w:style w:type="character" w:styleId="CommentReference">
    <w:name w:val="annotation reference"/>
    <w:semiHidden/>
    <w:unhideWhenUsed/>
    <w:rsid w:val="00BF20BF"/>
    <w:rPr>
      <w:sz w:val="16"/>
      <w:szCs w:val="16"/>
    </w:rPr>
  </w:style>
  <w:style w:type="paragraph" w:customStyle="1" w:styleId="CAR-Indent-Asterisk">
    <w:name w:val="CAR-Indent-Asterisk"/>
    <w:rsid w:val="00BF20BF"/>
    <w:pPr>
      <w:numPr>
        <w:numId w:val="27"/>
      </w:numPr>
      <w:spacing w:before="240"/>
    </w:pPr>
    <w:rPr>
      <w:rFonts w:ascii="Book Antiqua" w:hAnsi="Book Antiqua"/>
      <w:sz w:val="24"/>
      <w:szCs w:val="24"/>
      <w:lang w:eastAsia="en-US"/>
    </w:rPr>
  </w:style>
  <w:style w:type="paragraph" w:styleId="CommentText">
    <w:name w:val="annotation text"/>
    <w:basedOn w:val="Normal"/>
    <w:semiHidden/>
    <w:unhideWhenUsed/>
    <w:rsid w:val="00BF20BF"/>
  </w:style>
  <w:style w:type="character" w:customStyle="1" w:styleId="CommentTextChar">
    <w:name w:val="Comment Text Char"/>
    <w:semiHidden/>
    <w:rsid w:val="00BF20BF"/>
    <w:rPr>
      <w:rFonts w:ascii="Book Antiqua" w:hAnsi="Book Antiqua"/>
      <w:color w:val="000000"/>
    </w:rPr>
  </w:style>
  <w:style w:type="paragraph" w:styleId="CommentSubject">
    <w:name w:val="annotation subject"/>
    <w:basedOn w:val="CommentText"/>
    <w:next w:val="CommentText"/>
    <w:semiHidden/>
    <w:unhideWhenUsed/>
    <w:rsid w:val="00BF20BF"/>
    <w:rPr>
      <w:b/>
      <w:bCs/>
    </w:rPr>
  </w:style>
  <w:style w:type="character" w:customStyle="1" w:styleId="CommentSubjectChar">
    <w:name w:val="Comment Subject Char"/>
    <w:semiHidden/>
    <w:rsid w:val="00BF20BF"/>
    <w:rPr>
      <w:rFonts w:ascii="Book Antiqua" w:hAnsi="Book Antiqua"/>
      <w:b/>
      <w:bCs/>
      <w:color w:val="000000"/>
    </w:rPr>
  </w:style>
  <w:style w:type="paragraph" w:customStyle="1" w:styleId="Default">
    <w:name w:val="Default"/>
    <w:rsid w:val="00BC397B"/>
    <w:pPr>
      <w:autoSpaceDE w:val="0"/>
      <w:autoSpaceDN w:val="0"/>
      <w:adjustRightInd w:val="0"/>
    </w:pPr>
    <w:rPr>
      <w:rFonts w:ascii="Book Antiqua" w:hAnsi="Book Antiqua" w:cs="Book Antiqua"/>
      <w:color w:val="000000"/>
      <w:sz w:val="24"/>
      <w:szCs w:val="24"/>
      <w:lang w:val="en-US" w:eastAsia="en-US"/>
    </w:rPr>
  </w:style>
  <w:style w:type="paragraph" w:customStyle="1" w:styleId="CAR-Indent-2">
    <w:name w:val="CAR-Indent-2"/>
    <w:rsid w:val="00BF20BF"/>
    <w:pPr>
      <w:autoSpaceDE w:val="0"/>
      <w:autoSpaceDN w:val="0"/>
      <w:adjustRightInd w:val="0"/>
      <w:spacing w:after="240" w:line="260" w:lineRule="exact"/>
      <w:ind w:left="1134"/>
    </w:pPr>
    <w:rPr>
      <w:rFonts w:ascii="Book Antiqua" w:hAnsi="Book Antiqua"/>
      <w:sz w:val="24"/>
      <w:szCs w:val="24"/>
      <w:lang w:val="en-US" w:eastAsia="en-US"/>
    </w:rPr>
  </w:style>
  <w:style w:type="paragraph" w:customStyle="1" w:styleId="CAR-Indent-1">
    <w:name w:val="CAR-Indent-1"/>
    <w:rsid w:val="00BF20BF"/>
    <w:pPr>
      <w:autoSpaceDE w:val="0"/>
      <w:autoSpaceDN w:val="0"/>
      <w:adjustRightInd w:val="0"/>
      <w:spacing w:after="240" w:line="260" w:lineRule="exact"/>
      <w:ind w:left="567"/>
    </w:pPr>
    <w:rPr>
      <w:rFonts w:ascii="Book Antiqua" w:hAnsi="Book Antiqua"/>
      <w:sz w:val="24"/>
      <w:szCs w:val="24"/>
      <w:lang w:val="en-US" w:eastAsia="en-US"/>
    </w:rPr>
  </w:style>
  <w:style w:type="paragraph" w:customStyle="1" w:styleId="CAR-Bullet-2">
    <w:name w:val="CAR-Bullet-2"/>
    <w:rsid w:val="00BF20BF"/>
    <w:pPr>
      <w:numPr>
        <w:numId w:val="28"/>
      </w:numPr>
      <w:tabs>
        <w:tab w:val="left" w:pos="1134"/>
      </w:tabs>
      <w:spacing w:after="240" w:line="260" w:lineRule="exact"/>
    </w:pPr>
    <w:rPr>
      <w:rFonts w:ascii="Book Antiqua" w:hAnsi="Book Antiqua"/>
      <w:sz w:val="24"/>
      <w:szCs w:val="24"/>
      <w:lang w:eastAsia="en-US"/>
    </w:rPr>
  </w:style>
  <w:style w:type="paragraph" w:customStyle="1" w:styleId="CAR-Indent-Alpha-lower">
    <w:name w:val="CAR-Indent-Alpha-lower"/>
    <w:rsid w:val="00BF20BF"/>
    <w:pPr>
      <w:numPr>
        <w:numId w:val="29"/>
      </w:numPr>
      <w:spacing w:after="240" w:line="260" w:lineRule="exact"/>
      <w:ind w:right="561"/>
    </w:pPr>
    <w:rPr>
      <w:rFonts w:ascii="Book Antiqua" w:hAnsi="Book Antiqua"/>
      <w:sz w:val="24"/>
      <w:szCs w:val="24"/>
      <w:lang w:eastAsia="en-US"/>
    </w:rPr>
  </w:style>
  <w:style w:type="paragraph" w:customStyle="1" w:styleId="CAR-Indent-Roman-2">
    <w:name w:val="CAR-Indent-Roman-2"/>
    <w:rsid w:val="00BF20BF"/>
    <w:pPr>
      <w:numPr>
        <w:numId w:val="30"/>
      </w:numPr>
      <w:tabs>
        <w:tab w:val="left" w:pos="1843"/>
      </w:tabs>
      <w:spacing w:after="240" w:line="260" w:lineRule="exact"/>
    </w:pPr>
    <w:rPr>
      <w:rFonts w:ascii="Book Antiqua" w:hAnsi="Book Antiqua"/>
      <w:sz w:val="24"/>
      <w:szCs w:val="24"/>
      <w:lang w:eastAsia="en-US"/>
    </w:rPr>
  </w:style>
  <w:style w:type="paragraph" w:styleId="Revision">
    <w:name w:val="Revision"/>
    <w:hidden/>
    <w:uiPriority w:val="99"/>
    <w:semiHidden/>
    <w:rsid w:val="00D402D3"/>
    <w:rPr>
      <w:rFonts w:ascii="Book Antiqua" w:hAnsi="Book Antiqua"/>
      <w:color w:val="000000"/>
      <w:sz w:val="24"/>
      <w:szCs w:val="24"/>
    </w:rPr>
  </w:style>
  <w:style w:type="character" w:customStyle="1" w:styleId="Heading1Char">
    <w:name w:val="Heading 1 Char"/>
    <w:link w:val="Heading1"/>
    <w:rsid w:val="00DA41E0"/>
    <w:rPr>
      <w:rFonts w:ascii="Arial" w:hAnsi="Arial" w:cs="Arial"/>
      <w:b/>
      <w:bCs/>
      <w:color w:val="000080"/>
      <w:kern w:val="32"/>
      <w:sz w:val="32"/>
      <w:szCs w:val="36"/>
    </w:rPr>
  </w:style>
  <w:style w:type="character" w:customStyle="1" w:styleId="FootnoteTextChar">
    <w:name w:val="Footnote Text Char"/>
    <w:link w:val="FootnoteText"/>
    <w:rsid w:val="000E175C"/>
    <w:rPr>
      <w:rFonts w:ascii="Book Antiqua" w:hAnsi="Book Antiqua"/>
      <w:color w:val="000000"/>
      <w:sz w:val="18"/>
      <w:szCs w:val="24"/>
    </w:rPr>
  </w:style>
  <w:style w:type="paragraph" w:styleId="ListParagraph">
    <w:name w:val="List Paragraph"/>
    <w:basedOn w:val="Normal"/>
    <w:uiPriority w:val="34"/>
    <w:qFormat/>
    <w:rsid w:val="00F607A8"/>
    <w:pPr>
      <w:ind w:left="720"/>
      <w:contextualSpacing/>
    </w:pPr>
  </w:style>
  <w:style w:type="paragraph" w:styleId="ListBullet">
    <w:name w:val="List Bullet"/>
    <w:basedOn w:val="Normal"/>
    <w:uiPriority w:val="99"/>
    <w:unhideWhenUsed/>
    <w:rsid w:val="00641761"/>
    <w:pPr>
      <w:numPr>
        <w:numId w:val="31"/>
      </w:numPr>
      <w:contextualSpacing/>
    </w:pPr>
  </w:style>
  <w:style w:type="paragraph" w:styleId="EndnoteText">
    <w:name w:val="endnote text"/>
    <w:basedOn w:val="Normal"/>
    <w:link w:val="EndnoteTextChar"/>
    <w:uiPriority w:val="99"/>
    <w:semiHidden/>
    <w:unhideWhenUsed/>
    <w:rsid w:val="002E303D"/>
    <w:pPr>
      <w:spacing w:after="0" w:line="240" w:lineRule="auto"/>
    </w:pPr>
    <w:rPr>
      <w:sz w:val="20"/>
      <w:szCs w:val="20"/>
      <w:lang w:val="x-none" w:eastAsia="x-none"/>
    </w:rPr>
  </w:style>
  <w:style w:type="character" w:customStyle="1" w:styleId="EndnoteTextChar">
    <w:name w:val="Endnote Text Char"/>
    <w:link w:val="EndnoteText"/>
    <w:uiPriority w:val="99"/>
    <w:semiHidden/>
    <w:rsid w:val="002E303D"/>
    <w:rPr>
      <w:rFonts w:ascii="Book Antiqua" w:hAnsi="Book Antiqua"/>
      <w:color w:val="000000"/>
    </w:rPr>
  </w:style>
  <w:style w:type="character" w:styleId="EndnoteReference">
    <w:name w:val="endnote reference"/>
    <w:uiPriority w:val="99"/>
    <w:semiHidden/>
    <w:unhideWhenUsed/>
    <w:rsid w:val="002E303D"/>
    <w:rPr>
      <w:vertAlign w:val="superscript"/>
    </w:rPr>
  </w:style>
  <w:style w:type="paragraph" w:styleId="NormalWeb">
    <w:name w:val="Normal (Web)"/>
    <w:basedOn w:val="Normal"/>
    <w:uiPriority w:val="99"/>
    <w:semiHidden/>
    <w:unhideWhenUsed/>
    <w:rsid w:val="00494F86"/>
    <w:rPr>
      <w:rFonts w:ascii="Times New Roman" w:hAnsi="Times New Roman"/>
    </w:rPr>
  </w:style>
  <w:style w:type="character" w:customStyle="1" w:styleId="A5">
    <w:name w:val="A5"/>
    <w:uiPriority w:val="99"/>
    <w:rsid w:val="000134B9"/>
    <w:rPr>
      <w:rFonts w:cs="Swiss 721 BT"/>
      <w:color w:val="000000"/>
      <w:sz w:val="20"/>
      <w:szCs w:val="20"/>
    </w:rPr>
  </w:style>
  <w:style w:type="paragraph" w:styleId="TOCHeading">
    <w:name w:val="TOC Heading"/>
    <w:basedOn w:val="Heading1"/>
    <w:next w:val="Normal"/>
    <w:uiPriority w:val="39"/>
    <w:unhideWhenUsed/>
    <w:qFormat/>
    <w:rsid w:val="00487C7E"/>
    <w:pPr>
      <w:keepLines/>
      <w:spacing w:before="480" w:after="0" w:line="276" w:lineRule="auto"/>
      <w:outlineLvl w:val="9"/>
    </w:pPr>
    <w:rPr>
      <w:rFonts w:ascii="Cambria" w:eastAsia="MS Gothic" w:hAnsi="Cambria"/>
      <w:color w:val="365F91"/>
      <w:kern w:val="0"/>
      <w:sz w:val="28"/>
      <w:szCs w:val="28"/>
      <w:lang w:val="en-US" w:eastAsia="ja-JP"/>
    </w:rPr>
  </w:style>
  <w:style w:type="paragraph" w:customStyle="1" w:styleId="Tabletextlarge">
    <w:name w:val="Table text large"/>
    <w:basedOn w:val="TableTextLeft"/>
    <w:qFormat/>
    <w:rsid w:val="00755D7D"/>
    <w:rPr>
      <w:rFonts w:ascii="Book Antiqua" w:hAnsi="Book Antiqua"/>
      <w:sz w:val="20"/>
    </w:rPr>
  </w:style>
  <w:style w:type="paragraph" w:customStyle="1" w:styleId="Copyrighttext">
    <w:name w:val="Copyright text"/>
    <w:basedOn w:val="CAR-BodyText-Left"/>
    <w:rsid w:val="00A70BEC"/>
    <w:pPr>
      <w:spacing w:before="120" w:after="120" w:line="240" w:lineRule="auto"/>
    </w:pPr>
    <w:rPr>
      <w:sz w:val="19"/>
      <w:szCs w:val="18"/>
    </w:rPr>
  </w:style>
  <w:style w:type="paragraph" w:customStyle="1" w:styleId="Copyrightheading">
    <w:name w:val="Copyright heading"/>
    <w:basedOn w:val="CAR-BodyText-Left"/>
    <w:rsid w:val="00A70BEC"/>
    <w:pPr>
      <w:spacing w:before="120" w:after="60" w:line="240" w:lineRule="auto"/>
    </w:pPr>
    <w:rPr>
      <w:b/>
      <w:sz w:val="19"/>
      <w:szCs w:val="18"/>
    </w:rPr>
  </w:style>
  <w:style w:type="character" w:customStyle="1" w:styleId="NumLarge-1Char">
    <w:name w:val="NumLarge-1 Char"/>
    <w:link w:val="NumLarge-1"/>
    <w:rsid w:val="008B62A6"/>
    <w:rPr>
      <w:rFonts w:ascii="Book Antiqua" w:hAnsi="Book Antiqua"/>
      <w:sz w:val="24"/>
      <w:szCs w:val="24"/>
      <w:lang w:eastAsia="en-US"/>
    </w:rPr>
  </w:style>
  <w:style w:type="paragraph" w:customStyle="1" w:styleId="AlphaLower-2-Bold">
    <w:name w:val="AlphaLower-2-Bold"/>
    <w:rsid w:val="001B17DC"/>
    <w:pPr>
      <w:numPr>
        <w:numId w:val="32"/>
      </w:numPr>
      <w:spacing w:before="240"/>
      <w:jc w:val="both"/>
    </w:pPr>
    <w:rPr>
      <w:rFonts w:ascii="Palatino" w:hAnsi="Palatino"/>
      <w:b/>
      <w:sz w:val="24"/>
      <w:szCs w:val="24"/>
      <w:lang w:eastAsia="en-US"/>
    </w:rPr>
  </w:style>
  <w:style w:type="character" w:customStyle="1" w:styleId="hps-normal1">
    <w:name w:val="hps-normal1"/>
    <w:basedOn w:val="DefaultParagraphFont"/>
    <w:rsid w:val="00CC4773"/>
  </w:style>
  <w:style w:type="paragraph" w:customStyle="1" w:styleId="BulletSubpoint">
    <w:name w:val="Bullet Sub point"/>
    <w:basedOn w:val="Normal"/>
    <w:link w:val="BulletSubpointChar"/>
    <w:rsid w:val="0000696C"/>
    <w:pPr>
      <w:tabs>
        <w:tab w:val="num" w:pos="1080"/>
      </w:tabs>
      <w:spacing w:after="0" w:line="240" w:lineRule="auto"/>
      <w:ind w:left="1080" w:hanging="360"/>
    </w:pPr>
    <w:rPr>
      <w:rFonts w:ascii="Times New Roman" w:hAnsi="Times New Roman"/>
      <w:color w:val="auto"/>
      <w:sz w:val="22"/>
      <w:szCs w:val="20"/>
      <w:lang w:val="en-US" w:eastAsia="en-US"/>
    </w:rPr>
  </w:style>
  <w:style w:type="character" w:customStyle="1" w:styleId="BulletSubpointChar">
    <w:name w:val="Bullet Sub point Char"/>
    <w:basedOn w:val="DefaultParagraphFont"/>
    <w:link w:val="BulletSubpoint"/>
    <w:rsid w:val="0000696C"/>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CD"/>
    <w:pPr>
      <w:spacing w:after="240" w:line="260" w:lineRule="exact"/>
    </w:pPr>
    <w:rPr>
      <w:rFonts w:ascii="Book Antiqua" w:hAnsi="Book Antiqua"/>
      <w:color w:val="000000" w:themeColor="text1"/>
      <w:sz w:val="24"/>
      <w:szCs w:val="24"/>
    </w:rPr>
  </w:style>
  <w:style w:type="paragraph" w:styleId="Heading1">
    <w:name w:val="heading 1"/>
    <w:basedOn w:val="HeadingBase"/>
    <w:next w:val="Normal"/>
    <w:link w:val="Heading1Char"/>
    <w:qFormat/>
    <w:rsid w:val="00BF20BF"/>
    <w:pPr>
      <w:spacing w:before="240" w:after="240"/>
      <w:outlineLvl w:val="0"/>
    </w:pPr>
    <w:rPr>
      <w:b/>
      <w:bCs/>
      <w:kern w:val="32"/>
      <w:sz w:val="32"/>
      <w:szCs w:val="36"/>
      <w:lang w:val="x-none" w:eastAsia="x-none"/>
    </w:rPr>
  </w:style>
  <w:style w:type="paragraph" w:styleId="Heading2">
    <w:name w:val="heading 2"/>
    <w:basedOn w:val="HeadingBase"/>
    <w:next w:val="Normal"/>
    <w:qFormat/>
    <w:rsid w:val="003A1C05"/>
    <w:pPr>
      <w:spacing w:before="300" w:after="120"/>
      <w:outlineLvl w:val="1"/>
    </w:pPr>
    <w:rPr>
      <w:rFonts w:cs="Arial"/>
      <w:b/>
      <w:bCs/>
      <w:iCs/>
      <w:sz w:val="28"/>
      <w:szCs w:val="28"/>
    </w:rPr>
  </w:style>
  <w:style w:type="paragraph" w:styleId="Heading3">
    <w:name w:val="heading 3"/>
    <w:basedOn w:val="HeadingBase"/>
    <w:next w:val="Normal"/>
    <w:qFormat/>
    <w:rsid w:val="005776E2"/>
    <w:pPr>
      <w:spacing w:before="240" w:after="120"/>
      <w:outlineLvl w:val="2"/>
    </w:pPr>
    <w:rPr>
      <w:rFonts w:cs="Arial"/>
      <w:b/>
      <w:bCs/>
      <w:szCs w:val="26"/>
    </w:rPr>
  </w:style>
  <w:style w:type="paragraph" w:styleId="Heading4">
    <w:name w:val="heading 4"/>
    <w:basedOn w:val="HeadingBase"/>
    <w:next w:val="Normal"/>
    <w:qFormat/>
    <w:rsid w:val="00755D7D"/>
    <w:pPr>
      <w:spacing w:before="240" w:after="120"/>
      <w:outlineLvl w:val="3"/>
    </w:pPr>
    <w:rPr>
      <w:b/>
      <w:bCs/>
      <w:i/>
      <w:sz w:val="22"/>
      <w:szCs w:val="22"/>
    </w:rPr>
  </w:style>
  <w:style w:type="paragraph" w:styleId="Heading5">
    <w:name w:val="heading 5"/>
    <w:basedOn w:val="HeadingBase"/>
    <w:next w:val="Normal"/>
    <w:qFormat/>
    <w:rsid w:val="00BF20BF"/>
    <w:pPr>
      <w:spacing w:before="40" w:after="40"/>
      <w:outlineLvl w:val="4"/>
    </w:pPr>
    <w:rPr>
      <w:b/>
      <w:bCs/>
      <w:iCs/>
    </w:rPr>
  </w:style>
  <w:style w:type="paragraph" w:styleId="Heading6">
    <w:name w:val="heading 6"/>
    <w:basedOn w:val="HeadingBase"/>
    <w:next w:val="Normal"/>
    <w:qFormat/>
    <w:rsid w:val="00BF20BF"/>
    <w:pPr>
      <w:spacing w:before="360" w:after="360"/>
      <w:jc w:val="center"/>
      <w:outlineLvl w:val="5"/>
    </w:pPr>
    <w:rPr>
      <w:b/>
      <w:bCs/>
      <w:kern w:val="32"/>
      <w:sz w:val="28"/>
      <w:szCs w:val="22"/>
    </w:rPr>
  </w:style>
  <w:style w:type="paragraph" w:styleId="Heading7">
    <w:name w:val="heading 7"/>
    <w:basedOn w:val="HeadingBase"/>
    <w:next w:val="Normal"/>
    <w:qFormat/>
    <w:rsid w:val="00BF20BF"/>
    <w:pPr>
      <w:spacing w:after="120"/>
      <w:outlineLvl w:val="6"/>
    </w:pPr>
  </w:style>
  <w:style w:type="paragraph" w:styleId="Heading8">
    <w:name w:val="heading 8"/>
    <w:basedOn w:val="HeadingBase"/>
    <w:next w:val="Normal"/>
    <w:qFormat/>
    <w:rsid w:val="00BF20BF"/>
    <w:pPr>
      <w:spacing w:after="120"/>
      <w:outlineLvl w:val="7"/>
    </w:pPr>
    <w:rPr>
      <w:iCs/>
    </w:rPr>
  </w:style>
  <w:style w:type="paragraph" w:styleId="Heading9">
    <w:name w:val="heading 9"/>
    <w:basedOn w:val="HeadingBase"/>
    <w:next w:val="Normal"/>
    <w:qFormat/>
    <w:rsid w:val="00BF20B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BF20BF"/>
    <w:pPr>
      <w:keepNext/>
    </w:pPr>
    <w:rPr>
      <w:rFonts w:ascii="Arial" w:hAnsi="Arial"/>
      <w:color w:val="000080"/>
      <w:sz w:val="24"/>
      <w:szCs w:val="24"/>
    </w:rPr>
  </w:style>
  <w:style w:type="paragraph" w:styleId="NormalIndent">
    <w:name w:val="Normal Indent"/>
    <w:basedOn w:val="Normal"/>
    <w:semiHidden/>
    <w:rsid w:val="00BF20BF"/>
    <w:pPr>
      <w:ind w:left="567"/>
    </w:pPr>
  </w:style>
  <w:style w:type="paragraph" w:styleId="Header">
    <w:name w:val="header"/>
    <w:basedOn w:val="HeadingBase"/>
    <w:semiHidden/>
    <w:rsid w:val="00BF20BF"/>
    <w:rPr>
      <w:sz w:val="18"/>
    </w:rPr>
  </w:style>
  <w:style w:type="character" w:styleId="PageNumber">
    <w:name w:val="page number"/>
    <w:basedOn w:val="DefaultParagraphFont"/>
    <w:semiHidden/>
    <w:rsid w:val="00BF20BF"/>
  </w:style>
  <w:style w:type="paragraph" w:styleId="Footer">
    <w:name w:val="footer"/>
    <w:basedOn w:val="HeadingBase"/>
    <w:semiHidden/>
    <w:rsid w:val="00BF20BF"/>
    <w:rPr>
      <w:sz w:val="18"/>
    </w:rPr>
  </w:style>
  <w:style w:type="paragraph" w:customStyle="1" w:styleId="Document">
    <w:name w:val="Document"/>
    <w:basedOn w:val="Normal"/>
    <w:rsid w:val="00BF20BF"/>
    <w:pPr>
      <w:tabs>
        <w:tab w:val="num" w:pos="0"/>
      </w:tabs>
      <w:spacing w:after="120" w:line="360" w:lineRule="auto"/>
      <w:ind w:left="567" w:hanging="567"/>
      <w:jc w:val="both"/>
    </w:pPr>
    <w:rPr>
      <w:rFonts w:ascii="Arial" w:hAnsi="Arial"/>
      <w:sz w:val="22"/>
      <w:szCs w:val="22"/>
    </w:rPr>
  </w:style>
  <w:style w:type="paragraph" w:styleId="Title">
    <w:name w:val="Title"/>
    <w:basedOn w:val="Normal"/>
    <w:qFormat/>
    <w:rsid w:val="00BF20BF"/>
    <w:pPr>
      <w:spacing w:line="360" w:lineRule="auto"/>
      <w:jc w:val="center"/>
    </w:pPr>
    <w:rPr>
      <w:b/>
      <w:szCs w:val="22"/>
      <w:u w:val="single"/>
    </w:rPr>
  </w:style>
  <w:style w:type="paragraph" w:customStyle="1" w:styleId="Outline-1">
    <w:name w:val="Outline-1"/>
    <w:rsid w:val="00BF20BF"/>
    <w:pPr>
      <w:numPr>
        <w:numId w:val="1"/>
      </w:numPr>
      <w:tabs>
        <w:tab w:val="left" w:pos="567"/>
      </w:tabs>
      <w:spacing w:before="240"/>
      <w:jc w:val="both"/>
    </w:pPr>
    <w:rPr>
      <w:rFonts w:ascii="Palatino" w:hAnsi="Palatino"/>
      <w:sz w:val="24"/>
      <w:szCs w:val="24"/>
      <w:lang w:eastAsia="en-US"/>
    </w:rPr>
  </w:style>
  <w:style w:type="paragraph" w:customStyle="1" w:styleId="Outline-6">
    <w:name w:val="Outline-6"/>
    <w:rsid w:val="00BF20BF"/>
    <w:pPr>
      <w:numPr>
        <w:numId w:val="2"/>
      </w:numPr>
      <w:spacing w:before="120"/>
      <w:jc w:val="both"/>
    </w:pPr>
    <w:rPr>
      <w:rFonts w:ascii="Palatino" w:hAnsi="Palatino"/>
      <w:sz w:val="24"/>
      <w:szCs w:val="24"/>
      <w:lang w:eastAsia="en-US"/>
    </w:rPr>
  </w:style>
  <w:style w:type="paragraph" w:customStyle="1" w:styleId="SingleParagraph">
    <w:name w:val="Single Paragraph"/>
    <w:basedOn w:val="Normal"/>
    <w:rsid w:val="00BF20BF"/>
    <w:pPr>
      <w:spacing w:after="0"/>
    </w:pPr>
  </w:style>
  <w:style w:type="character" w:styleId="Hyperlink">
    <w:name w:val="Hyperlink"/>
    <w:uiPriority w:val="99"/>
    <w:rsid w:val="00BF20BF"/>
    <w:rPr>
      <w:color w:val="auto"/>
      <w:u w:val="none"/>
    </w:rPr>
  </w:style>
  <w:style w:type="character" w:styleId="FootnoteReference">
    <w:name w:val="footnote reference"/>
    <w:rsid w:val="00BF20BF"/>
    <w:rPr>
      <w:vertAlign w:val="superscript"/>
    </w:rPr>
  </w:style>
  <w:style w:type="character" w:styleId="FollowedHyperlink">
    <w:name w:val="FollowedHyperlink"/>
    <w:semiHidden/>
    <w:rsid w:val="00BF20BF"/>
    <w:rPr>
      <w:color w:val="auto"/>
      <w:u w:val="none"/>
    </w:rPr>
  </w:style>
  <w:style w:type="paragraph" w:styleId="FootnoteText">
    <w:name w:val="footnote text"/>
    <w:basedOn w:val="Normal"/>
    <w:link w:val="FootnoteTextChar"/>
    <w:rsid w:val="000E175C"/>
    <w:pPr>
      <w:tabs>
        <w:tab w:val="left" w:pos="284"/>
      </w:tabs>
      <w:spacing w:after="0" w:line="240" w:lineRule="auto"/>
      <w:ind w:left="284" w:hanging="284"/>
    </w:pPr>
    <w:rPr>
      <w:sz w:val="18"/>
      <w:lang w:val="x-none" w:eastAsia="x-none"/>
    </w:rPr>
  </w:style>
  <w:style w:type="paragraph" w:customStyle="1" w:styleId="Bullet">
    <w:name w:val="Bullet"/>
    <w:basedOn w:val="Normal"/>
    <w:rsid w:val="00BF20BF"/>
    <w:pPr>
      <w:numPr>
        <w:ilvl w:val="1"/>
        <w:numId w:val="3"/>
      </w:numPr>
      <w:tabs>
        <w:tab w:val="clear" w:pos="567"/>
        <w:tab w:val="num" w:pos="283"/>
      </w:tabs>
      <w:ind w:left="283" w:hanging="283"/>
    </w:pPr>
  </w:style>
  <w:style w:type="paragraph" w:customStyle="1" w:styleId="Dash">
    <w:name w:val="Dash"/>
    <w:basedOn w:val="Normal"/>
    <w:rsid w:val="00BF20BF"/>
    <w:pPr>
      <w:numPr>
        <w:ilvl w:val="2"/>
        <w:numId w:val="3"/>
      </w:numPr>
      <w:tabs>
        <w:tab w:val="clear" w:pos="850"/>
        <w:tab w:val="num" w:pos="567"/>
      </w:tabs>
      <w:ind w:left="567" w:hanging="284"/>
    </w:pPr>
  </w:style>
  <w:style w:type="paragraph" w:customStyle="1" w:styleId="DoubleDot">
    <w:name w:val="Double Dot"/>
    <w:basedOn w:val="Normal"/>
    <w:rsid w:val="00BF20BF"/>
    <w:pPr>
      <w:numPr>
        <w:numId w:val="4"/>
      </w:numPr>
      <w:tabs>
        <w:tab w:val="clear" w:pos="567"/>
        <w:tab w:val="num" w:pos="850"/>
      </w:tabs>
      <w:ind w:left="850" w:hanging="283"/>
    </w:pPr>
  </w:style>
  <w:style w:type="paragraph" w:customStyle="1" w:styleId="OutlineNumbered1">
    <w:name w:val="Outline Numbered 1"/>
    <w:basedOn w:val="Normal"/>
    <w:rsid w:val="00BF20BF"/>
    <w:pPr>
      <w:numPr>
        <w:ilvl w:val="1"/>
        <w:numId w:val="4"/>
      </w:numPr>
      <w:tabs>
        <w:tab w:val="clear" w:pos="1134"/>
        <w:tab w:val="num" w:pos="567"/>
      </w:tabs>
      <w:ind w:left="567"/>
    </w:pPr>
  </w:style>
  <w:style w:type="paragraph" w:customStyle="1" w:styleId="OutlineNumbered2">
    <w:name w:val="Outline Numbered 2"/>
    <w:basedOn w:val="Normal"/>
    <w:rsid w:val="00BF20BF"/>
    <w:pPr>
      <w:numPr>
        <w:ilvl w:val="2"/>
        <w:numId w:val="4"/>
      </w:numPr>
      <w:tabs>
        <w:tab w:val="clear" w:pos="1701"/>
        <w:tab w:val="num" w:pos="1134"/>
      </w:tabs>
      <w:ind w:left="1134"/>
    </w:pPr>
  </w:style>
  <w:style w:type="paragraph" w:customStyle="1" w:styleId="OutlineNumbered3">
    <w:name w:val="Outline Numbered 3"/>
    <w:basedOn w:val="Normal"/>
    <w:rsid w:val="00BF20BF"/>
    <w:pPr>
      <w:numPr>
        <w:numId w:val="5"/>
      </w:numPr>
      <w:jc w:val="both"/>
    </w:pPr>
  </w:style>
  <w:style w:type="paragraph" w:customStyle="1" w:styleId="AlphaParagraph">
    <w:name w:val="Alpha Paragraph"/>
    <w:basedOn w:val="Normal"/>
    <w:rsid w:val="00BF20BF"/>
  </w:style>
  <w:style w:type="paragraph" w:customStyle="1" w:styleId="AppendixHeading">
    <w:name w:val="Appendix Heading"/>
    <w:basedOn w:val="HeadingBase"/>
    <w:next w:val="Normal"/>
    <w:rsid w:val="00BF20BF"/>
    <w:pPr>
      <w:spacing w:before="720" w:after="360"/>
      <w:outlineLvl w:val="0"/>
    </w:pPr>
    <w:rPr>
      <w:rFonts w:ascii="Arial Bold" w:hAnsi="Arial Bold"/>
      <w:b/>
      <w:smallCaps/>
      <w:sz w:val="36"/>
      <w:szCs w:val="36"/>
    </w:rPr>
  </w:style>
  <w:style w:type="character" w:customStyle="1" w:styleId="Bold">
    <w:name w:val="Bold"/>
    <w:rsid w:val="00BF20BF"/>
    <w:rPr>
      <w:b/>
    </w:rPr>
  </w:style>
  <w:style w:type="paragraph" w:customStyle="1" w:styleId="BoxHeading">
    <w:name w:val="Box Heading"/>
    <w:basedOn w:val="HeadingBase"/>
    <w:next w:val="BoxText"/>
    <w:rsid w:val="00BF20BF"/>
    <w:pPr>
      <w:spacing w:before="120" w:after="120"/>
    </w:pPr>
    <w:rPr>
      <w:b/>
      <w:sz w:val="22"/>
    </w:rPr>
  </w:style>
  <w:style w:type="paragraph" w:customStyle="1" w:styleId="BoxText">
    <w:name w:val="Box Text"/>
    <w:basedOn w:val="BoxTextBase"/>
    <w:rsid w:val="00BF20BF"/>
  </w:style>
  <w:style w:type="paragraph" w:customStyle="1" w:styleId="BoxTextBase">
    <w:name w:val="Box Text Base"/>
    <w:basedOn w:val="Normal"/>
    <w:rsid w:val="00BF20BF"/>
    <w:pPr>
      <w:numPr>
        <w:numId w:val="6"/>
      </w:numPr>
      <w:tabs>
        <w:tab w:val="clear" w:pos="283"/>
      </w:tabs>
      <w:spacing w:before="120" w:after="120"/>
      <w:ind w:left="0" w:firstLine="0"/>
    </w:pPr>
  </w:style>
  <w:style w:type="paragraph" w:customStyle="1" w:styleId="ChartandTableFootnoteAlpha">
    <w:name w:val="Chart and Table Footnote Alpha"/>
    <w:rsid w:val="00BF20BF"/>
    <w:pPr>
      <w:tabs>
        <w:tab w:val="num" w:pos="851"/>
      </w:tabs>
      <w:ind w:left="284" w:hanging="284"/>
    </w:pPr>
    <w:rPr>
      <w:rFonts w:ascii="Arial" w:hAnsi="Arial"/>
      <w:color w:val="000000"/>
      <w:sz w:val="16"/>
      <w:szCs w:val="16"/>
    </w:rPr>
  </w:style>
  <w:style w:type="paragraph" w:customStyle="1" w:styleId="CAR-Logo">
    <w:name w:val="CAR-Logo"/>
    <w:basedOn w:val="Normal"/>
    <w:next w:val="Normal"/>
    <w:rsid w:val="00BF20BF"/>
    <w:pPr>
      <w:keepNext/>
      <w:spacing w:after="0" w:line="240" w:lineRule="auto"/>
      <w:jc w:val="center"/>
    </w:pPr>
    <w:rPr>
      <w:rFonts w:ascii="Arial" w:hAnsi="Arial"/>
      <w:color w:val="000080"/>
    </w:rPr>
  </w:style>
  <w:style w:type="paragraph" w:customStyle="1" w:styleId="ChartMainHeading">
    <w:name w:val="Chart Main Heading"/>
    <w:basedOn w:val="HeadingBase"/>
    <w:next w:val="ChartGraphic"/>
    <w:rsid w:val="00BF20BF"/>
    <w:pPr>
      <w:spacing w:after="20"/>
      <w:jc w:val="center"/>
    </w:pPr>
    <w:rPr>
      <w:b/>
      <w:sz w:val="22"/>
    </w:rPr>
  </w:style>
  <w:style w:type="paragraph" w:customStyle="1" w:styleId="ChartGraphic">
    <w:name w:val="Chart Graphic"/>
    <w:basedOn w:val="HeadingBase"/>
    <w:next w:val="Normal"/>
    <w:rsid w:val="00BF20BF"/>
    <w:pPr>
      <w:jc w:val="center"/>
    </w:pPr>
  </w:style>
  <w:style w:type="paragraph" w:customStyle="1" w:styleId="ChartorTableNote">
    <w:name w:val="Chart or Table Note"/>
    <w:next w:val="Normal"/>
    <w:rsid w:val="00BF20BF"/>
    <w:pPr>
      <w:tabs>
        <w:tab w:val="left" w:pos="240"/>
      </w:tabs>
      <w:ind w:left="240" w:hanging="240"/>
    </w:pPr>
    <w:rPr>
      <w:rFonts w:ascii="Arial" w:hAnsi="Arial"/>
      <w:color w:val="000000"/>
      <w:sz w:val="16"/>
      <w:szCs w:val="24"/>
    </w:rPr>
  </w:style>
  <w:style w:type="paragraph" w:customStyle="1" w:styleId="ChartSecondHeading">
    <w:name w:val="Chart Second Heading"/>
    <w:basedOn w:val="HeadingBase"/>
    <w:next w:val="ChartGraphic"/>
    <w:rsid w:val="00BF20BF"/>
    <w:pPr>
      <w:spacing w:after="20"/>
      <w:jc w:val="center"/>
    </w:pPr>
  </w:style>
  <w:style w:type="paragraph" w:customStyle="1" w:styleId="Classification">
    <w:name w:val="Classification"/>
    <w:basedOn w:val="HeadingBase"/>
    <w:next w:val="Footer"/>
    <w:rsid w:val="00BF20BF"/>
    <w:pPr>
      <w:spacing w:after="120"/>
      <w:jc w:val="center"/>
    </w:pPr>
    <w:rPr>
      <w:b/>
      <w:smallCaps/>
    </w:rPr>
  </w:style>
  <w:style w:type="paragraph" w:customStyle="1" w:styleId="ContentsHeading">
    <w:name w:val="Contents Heading"/>
    <w:basedOn w:val="HeadingBase"/>
    <w:next w:val="Normal"/>
    <w:rsid w:val="00BF20BF"/>
    <w:pPr>
      <w:spacing w:after="360"/>
    </w:pPr>
    <w:rPr>
      <w:smallCaps/>
      <w:sz w:val="36"/>
      <w:szCs w:val="36"/>
    </w:rPr>
  </w:style>
  <w:style w:type="paragraph" w:customStyle="1" w:styleId="CAR-CoverMain">
    <w:name w:val="CAR-CoverMain"/>
    <w:basedOn w:val="Normal"/>
    <w:next w:val="Normal"/>
    <w:rsid w:val="00BF20BF"/>
    <w:pPr>
      <w:keepNext/>
      <w:spacing w:before="2000" w:after="480" w:line="240" w:lineRule="auto"/>
      <w:jc w:val="center"/>
    </w:pPr>
    <w:rPr>
      <w:rFonts w:ascii="Arial" w:hAnsi="Arial"/>
      <w:b/>
      <w:color w:val="000080"/>
      <w:sz w:val="48"/>
    </w:rPr>
  </w:style>
  <w:style w:type="paragraph" w:customStyle="1" w:styleId="CAR-CoverSub">
    <w:name w:val="CAR-CoverSub"/>
    <w:basedOn w:val="Normal"/>
    <w:rsid w:val="00BF20BF"/>
    <w:pPr>
      <w:keepNext/>
      <w:spacing w:before="1440" w:after="360" w:line="240" w:lineRule="auto"/>
      <w:jc w:val="center"/>
    </w:pPr>
    <w:rPr>
      <w:rFonts w:ascii="Arial" w:hAnsi="Arial"/>
      <w:color w:val="000080"/>
      <w:sz w:val="36"/>
    </w:rPr>
  </w:style>
  <w:style w:type="paragraph" w:customStyle="1" w:styleId="FooterCentered">
    <w:name w:val="Footer Centered"/>
    <w:basedOn w:val="Footer"/>
    <w:rsid w:val="00BF20BF"/>
    <w:pPr>
      <w:jc w:val="center"/>
    </w:pPr>
  </w:style>
  <w:style w:type="paragraph" w:customStyle="1" w:styleId="FooterEven">
    <w:name w:val="Footer Even"/>
    <w:basedOn w:val="Footer"/>
    <w:rsid w:val="00BF20BF"/>
  </w:style>
  <w:style w:type="paragraph" w:customStyle="1" w:styleId="FooterOdd">
    <w:name w:val="Footer Odd"/>
    <w:basedOn w:val="Footer"/>
    <w:rsid w:val="00BF20BF"/>
    <w:pPr>
      <w:jc w:val="right"/>
    </w:pPr>
  </w:style>
  <w:style w:type="character" w:customStyle="1" w:styleId="FramedFooter">
    <w:name w:val="Framed Footer"/>
    <w:rsid w:val="00BF20BF"/>
    <w:rPr>
      <w:rFonts w:ascii="Arial" w:hAnsi="Arial"/>
      <w:sz w:val="18"/>
    </w:rPr>
  </w:style>
  <w:style w:type="character" w:customStyle="1" w:styleId="FramedHeader">
    <w:name w:val="Framed Header"/>
    <w:rsid w:val="00BF20BF"/>
    <w:rPr>
      <w:rFonts w:ascii="Arial" w:hAnsi="Arial"/>
      <w:dstrike w:val="0"/>
      <w:color w:val="auto"/>
      <w:sz w:val="18"/>
      <w:vertAlign w:val="baseline"/>
    </w:rPr>
  </w:style>
  <w:style w:type="paragraph" w:customStyle="1" w:styleId="HeaderEven">
    <w:name w:val="Header Even"/>
    <w:basedOn w:val="Header"/>
    <w:rsid w:val="00BF20BF"/>
  </w:style>
  <w:style w:type="paragraph" w:customStyle="1" w:styleId="HeaderOdd">
    <w:name w:val="Header Odd"/>
    <w:basedOn w:val="Header"/>
    <w:rsid w:val="00BF20BF"/>
    <w:pPr>
      <w:jc w:val="right"/>
    </w:pPr>
  </w:style>
  <w:style w:type="paragraph" w:customStyle="1" w:styleId="RecommendationHeading">
    <w:name w:val="Recommendation Heading"/>
    <w:basedOn w:val="HeadingBase"/>
    <w:next w:val="RecommendationText"/>
    <w:rsid w:val="00BF20BF"/>
    <w:pPr>
      <w:spacing w:after="240"/>
    </w:pPr>
    <w:rPr>
      <w:b/>
      <w:sz w:val="22"/>
    </w:rPr>
  </w:style>
  <w:style w:type="paragraph" w:customStyle="1" w:styleId="RecommendationText">
    <w:name w:val="Recommendation Text"/>
    <w:basedOn w:val="RecommendationBaseText"/>
    <w:rsid w:val="00BF20BF"/>
    <w:rPr>
      <w:i/>
    </w:rPr>
  </w:style>
  <w:style w:type="paragraph" w:customStyle="1" w:styleId="RecommendationBaseText">
    <w:name w:val="Recommendation Base Text"/>
    <w:basedOn w:val="Normal"/>
    <w:rsid w:val="00BF20BF"/>
  </w:style>
  <w:style w:type="paragraph" w:customStyle="1" w:styleId="TableTextBase">
    <w:name w:val="Table Text Base"/>
    <w:rsid w:val="00BF20BF"/>
    <w:pPr>
      <w:spacing w:before="40" w:after="40"/>
    </w:pPr>
    <w:rPr>
      <w:rFonts w:ascii="Arial" w:hAnsi="Arial"/>
      <w:color w:val="000000"/>
      <w:sz w:val="16"/>
      <w:szCs w:val="24"/>
    </w:rPr>
  </w:style>
  <w:style w:type="paragraph" w:customStyle="1" w:styleId="TableColumnHeadingCentred">
    <w:name w:val="Table Column Heading Centred"/>
    <w:basedOn w:val="TableColumnHeadingBase"/>
    <w:rsid w:val="00BF20BF"/>
    <w:pPr>
      <w:jc w:val="center"/>
    </w:pPr>
  </w:style>
  <w:style w:type="paragraph" w:customStyle="1" w:styleId="TableColumnHeadingBase">
    <w:name w:val="Table Column Heading Base"/>
    <w:basedOn w:val="Normal"/>
    <w:rsid w:val="00BF20BF"/>
    <w:pPr>
      <w:spacing w:before="40" w:after="40" w:line="240" w:lineRule="auto"/>
    </w:pPr>
    <w:rPr>
      <w:rFonts w:ascii="Arial" w:hAnsi="Arial"/>
      <w:b/>
      <w:color w:val="000080"/>
      <w:sz w:val="16"/>
    </w:rPr>
  </w:style>
  <w:style w:type="paragraph" w:customStyle="1" w:styleId="TableColumnHeadingLeft">
    <w:name w:val="Table Column Heading Left"/>
    <w:basedOn w:val="TableColumnHeadingBase"/>
    <w:rsid w:val="00BF20BF"/>
  </w:style>
  <w:style w:type="paragraph" w:customStyle="1" w:styleId="TableColumnHeadingRight">
    <w:name w:val="Table Column Heading Right"/>
    <w:basedOn w:val="TableColumnHeadingBase"/>
    <w:rsid w:val="00BF20BF"/>
    <w:pPr>
      <w:jc w:val="right"/>
    </w:pPr>
  </w:style>
  <w:style w:type="paragraph" w:customStyle="1" w:styleId="TableGraphic">
    <w:name w:val="Table Graphic"/>
    <w:basedOn w:val="HeadingBase"/>
    <w:next w:val="Normal"/>
    <w:rsid w:val="00BF20BF"/>
    <w:pPr>
      <w:spacing w:after="20"/>
      <w:ind w:right="-113"/>
    </w:pPr>
  </w:style>
  <w:style w:type="paragraph" w:customStyle="1" w:styleId="TableMainHeading">
    <w:name w:val="Table Main Heading"/>
    <w:basedOn w:val="HeadingBase"/>
    <w:next w:val="TableGraphic"/>
    <w:rsid w:val="00172C18"/>
    <w:pPr>
      <w:spacing w:before="240" w:after="60"/>
    </w:pPr>
    <w:rPr>
      <w:b/>
      <w:sz w:val="22"/>
    </w:rPr>
  </w:style>
  <w:style w:type="paragraph" w:customStyle="1" w:styleId="TableMainHeadingContd">
    <w:name w:val="Table Main Heading Contd"/>
    <w:basedOn w:val="HeadingBase"/>
    <w:next w:val="TableGraphic"/>
    <w:rsid w:val="00BF20BF"/>
    <w:pPr>
      <w:pageBreakBefore/>
      <w:spacing w:after="20"/>
    </w:pPr>
    <w:rPr>
      <w:b/>
      <w:sz w:val="22"/>
    </w:rPr>
  </w:style>
  <w:style w:type="paragraph" w:customStyle="1" w:styleId="TableSecondHeading">
    <w:name w:val="Table Second Heading"/>
    <w:basedOn w:val="HeadingBase"/>
    <w:next w:val="TableGraphic"/>
    <w:rsid w:val="00BF20BF"/>
    <w:pPr>
      <w:spacing w:after="20"/>
    </w:pPr>
  </w:style>
  <w:style w:type="paragraph" w:customStyle="1" w:styleId="TableTextCentered">
    <w:name w:val="Table Text Centered"/>
    <w:basedOn w:val="TableTextBase"/>
    <w:rsid w:val="00BF20BF"/>
    <w:pPr>
      <w:jc w:val="center"/>
    </w:pPr>
  </w:style>
  <w:style w:type="paragraph" w:customStyle="1" w:styleId="TableTextIndented">
    <w:name w:val="Table Text Indented"/>
    <w:basedOn w:val="TableTextBase"/>
    <w:rsid w:val="00BF20BF"/>
    <w:pPr>
      <w:ind w:left="284"/>
    </w:pPr>
  </w:style>
  <w:style w:type="paragraph" w:customStyle="1" w:styleId="TableTextLeft">
    <w:name w:val="Table Text Left"/>
    <w:basedOn w:val="TableTextBase"/>
    <w:rsid w:val="00BF20BF"/>
  </w:style>
  <w:style w:type="paragraph" w:customStyle="1" w:styleId="TableTextRight">
    <w:name w:val="Table Text Right"/>
    <w:basedOn w:val="TableTextBase"/>
    <w:rsid w:val="00BF20BF"/>
    <w:pPr>
      <w:jc w:val="right"/>
    </w:pPr>
  </w:style>
  <w:style w:type="paragraph" w:styleId="TOC1">
    <w:name w:val="toc 1"/>
    <w:basedOn w:val="HeadingBase"/>
    <w:next w:val="Normal"/>
    <w:uiPriority w:val="39"/>
    <w:rsid w:val="000450F5"/>
    <w:pPr>
      <w:tabs>
        <w:tab w:val="right" w:leader="dot" w:pos="7655"/>
      </w:tabs>
      <w:spacing w:before="120"/>
      <w:ind w:right="851"/>
    </w:pPr>
    <w:rPr>
      <w:rFonts w:ascii="Arial Bold" w:hAnsi="Arial Bold"/>
      <w:b/>
      <w:smallCaps/>
      <w:szCs w:val="22"/>
    </w:rPr>
  </w:style>
  <w:style w:type="paragraph" w:styleId="TOC2">
    <w:name w:val="toc 2"/>
    <w:basedOn w:val="HeadingBase"/>
    <w:next w:val="Normal"/>
    <w:uiPriority w:val="39"/>
    <w:rsid w:val="000450F5"/>
    <w:pPr>
      <w:tabs>
        <w:tab w:val="right" w:leader="dot" w:pos="7655"/>
      </w:tabs>
      <w:spacing w:before="40" w:after="20"/>
      <w:ind w:right="851"/>
    </w:pPr>
    <w:rPr>
      <w:color w:val="000000"/>
      <w:sz w:val="22"/>
    </w:rPr>
  </w:style>
  <w:style w:type="paragraph" w:styleId="TOC3">
    <w:name w:val="toc 3"/>
    <w:basedOn w:val="Normal"/>
    <w:next w:val="Normal"/>
    <w:uiPriority w:val="39"/>
    <w:rsid w:val="000450F5"/>
    <w:pPr>
      <w:tabs>
        <w:tab w:val="right" w:leader="dot" w:pos="7655"/>
      </w:tabs>
      <w:spacing w:before="20" w:after="0" w:line="240" w:lineRule="auto"/>
      <w:ind w:left="284" w:right="851"/>
    </w:pPr>
    <w:rPr>
      <w:rFonts w:ascii="Arial" w:hAnsi="Arial"/>
      <w:sz w:val="22"/>
    </w:rPr>
  </w:style>
  <w:style w:type="paragraph" w:styleId="TOC4">
    <w:name w:val="toc 4"/>
    <w:basedOn w:val="Normal"/>
    <w:next w:val="Normal"/>
    <w:semiHidden/>
    <w:rsid w:val="00BF20BF"/>
    <w:pPr>
      <w:numPr>
        <w:numId w:val="8"/>
      </w:numPr>
      <w:tabs>
        <w:tab w:val="right" w:leader="dot" w:pos="7700"/>
      </w:tabs>
      <w:spacing w:after="0" w:line="240" w:lineRule="auto"/>
      <w:ind w:right="851"/>
    </w:pPr>
  </w:style>
  <w:style w:type="character" w:customStyle="1" w:styleId="Italic">
    <w:name w:val="Italic"/>
    <w:rsid w:val="00BF20BF"/>
    <w:rPr>
      <w:i/>
    </w:rPr>
  </w:style>
  <w:style w:type="paragraph" w:customStyle="1" w:styleId="OneLevelNumberedParagraph">
    <w:name w:val="One Level Numbered Paragraph"/>
    <w:basedOn w:val="Normal"/>
    <w:rsid w:val="00BF20BF"/>
    <w:pPr>
      <w:numPr>
        <w:numId w:val="7"/>
      </w:numPr>
      <w:tabs>
        <w:tab w:val="clear" w:pos="283"/>
        <w:tab w:val="num" w:pos="567"/>
      </w:tabs>
      <w:ind w:left="567" w:hanging="567"/>
    </w:pPr>
  </w:style>
  <w:style w:type="paragraph" w:customStyle="1" w:styleId="BoxBullet">
    <w:name w:val="Box Bullet"/>
    <w:basedOn w:val="BoxTextBase"/>
    <w:rsid w:val="00BF20BF"/>
    <w:pPr>
      <w:numPr>
        <w:ilvl w:val="1"/>
        <w:numId w:val="7"/>
      </w:numPr>
      <w:tabs>
        <w:tab w:val="clear" w:pos="567"/>
        <w:tab w:val="num" w:pos="283"/>
      </w:tabs>
      <w:ind w:left="283" w:hanging="283"/>
    </w:pPr>
  </w:style>
  <w:style w:type="paragraph" w:customStyle="1" w:styleId="BoxDash">
    <w:name w:val="Box Dash"/>
    <w:basedOn w:val="Normal"/>
    <w:rsid w:val="00BF20BF"/>
    <w:pPr>
      <w:numPr>
        <w:ilvl w:val="2"/>
        <w:numId w:val="7"/>
      </w:numPr>
      <w:tabs>
        <w:tab w:val="clear" w:pos="850"/>
        <w:tab w:val="num" w:pos="567"/>
      </w:tabs>
      <w:ind w:left="567" w:hanging="284"/>
    </w:pPr>
  </w:style>
  <w:style w:type="paragraph" w:customStyle="1" w:styleId="BoxDoubleDot">
    <w:name w:val="Box Double Dot"/>
    <w:basedOn w:val="BoxTextBase"/>
    <w:rsid w:val="00BF20BF"/>
    <w:pPr>
      <w:numPr>
        <w:numId w:val="9"/>
      </w:numPr>
      <w:tabs>
        <w:tab w:val="clear" w:pos="283"/>
        <w:tab w:val="num" w:pos="850"/>
      </w:tabs>
      <w:ind w:left="850"/>
    </w:pPr>
  </w:style>
  <w:style w:type="paragraph" w:customStyle="1" w:styleId="RecommendationBullet">
    <w:name w:val="Recommendation Bullet"/>
    <w:basedOn w:val="RecommendationBaseText"/>
    <w:rsid w:val="00BF20BF"/>
    <w:pPr>
      <w:numPr>
        <w:ilvl w:val="1"/>
        <w:numId w:val="9"/>
      </w:numPr>
      <w:tabs>
        <w:tab w:val="clear" w:pos="567"/>
        <w:tab w:val="num" w:pos="283"/>
      </w:tabs>
      <w:ind w:left="283" w:hanging="283"/>
    </w:pPr>
  </w:style>
  <w:style w:type="paragraph" w:customStyle="1" w:styleId="RecommendationDash">
    <w:name w:val="Recommendation Dash"/>
    <w:basedOn w:val="RecommendationBaseText"/>
    <w:rsid w:val="00BF20BF"/>
    <w:pPr>
      <w:numPr>
        <w:ilvl w:val="2"/>
        <w:numId w:val="9"/>
      </w:numPr>
      <w:tabs>
        <w:tab w:val="clear" w:pos="850"/>
        <w:tab w:val="num" w:pos="567"/>
      </w:tabs>
      <w:ind w:left="567" w:hanging="284"/>
    </w:pPr>
  </w:style>
  <w:style w:type="paragraph" w:customStyle="1" w:styleId="RecommendationDoubleDot">
    <w:name w:val="Recommendation Double Dot"/>
    <w:basedOn w:val="RecommendationBaseText"/>
    <w:rsid w:val="00BF20BF"/>
    <w:pPr>
      <w:tabs>
        <w:tab w:val="num" w:pos="850"/>
      </w:tabs>
      <w:ind w:left="850" w:hanging="283"/>
    </w:pPr>
  </w:style>
  <w:style w:type="character" w:customStyle="1" w:styleId="Boldanditalic">
    <w:name w:val="Bold and italic"/>
    <w:rsid w:val="00BF20BF"/>
    <w:rPr>
      <w:b/>
      <w:i/>
    </w:rPr>
  </w:style>
  <w:style w:type="paragraph" w:customStyle="1" w:styleId="Normalnumbered">
    <w:name w:val="Normal numbered"/>
    <w:basedOn w:val="Normal"/>
    <w:rsid w:val="00BF20BF"/>
    <w:pPr>
      <w:numPr>
        <w:numId w:val="13"/>
      </w:numPr>
      <w:jc w:val="both"/>
    </w:pPr>
  </w:style>
  <w:style w:type="paragraph" w:customStyle="1" w:styleId="Romannumeral">
    <w:name w:val="Roman numeral"/>
    <w:basedOn w:val="Normal"/>
    <w:rsid w:val="00BF20BF"/>
    <w:pPr>
      <w:numPr>
        <w:numId w:val="10"/>
      </w:numPr>
    </w:pPr>
  </w:style>
  <w:style w:type="paragraph" w:customStyle="1" w:styleId="AlphaLevel3">
    <w:name w:val="Alpha Level 3"/>
    <w:basedOn w:val="Normal"/>
    <w:rsid w:val="00BF20BF"/>
    <w:pPr>
      <w:numPr>
        <w:numId w:val="11"/>
      </w:numPr>
    </w:pPr>
  </w:style>
  <w:style w:type="paragraph" w:customStyle="1" w:styleId="AlphaLevel4">
    <w:name w:val="Alpha Level 4"/>
    <w:basedOn w:val="Normal"/>
    <w:rsid w:val="00BF20BF"/>
    <w:pPr>
      <w:numPr>
        <w:numId w:val="12"/>
      </w:numPr>
      <w:jc w:val="both"/>
    </w:pPr>
  </w:style>
  <w:style w:type="paragraph" w:customStyle="1" w:styleId="NormalJustified">
    <w:name w:val="Normal Justified"/>
    <w:basedOn w:val="Normal"/>
    <w:rsid w:val="00BF20BF"/>
    <w:pPr>
      <w:jc w:val="both"/>
    </w:pPr>
  </w:style>
  <w:style w:type="paragraph" w:customStyle="1" w:styleId="RomanNumeralJustified">
    <w:name w:val="Roman Numeral Justified"/>
    <w:basedOn w:val="Romannumeral"/>
    <w:rsid w:val="00BF20BF"/>
    <w:pPr>
      <w:numPr>
        <w:numId w:val="0"/>
      </w:numPr>
      <w:tabs>
        <w:tab w:val="left" w:pos="1134"/>
      </w:tabs>
      <w:jc w:val="both"/>
    </w:pPr>
  </w:style>
  <w:style w:type="paragraph" w:customStyle="1" w:styleId="RomannumeralJustified0">
    <w:name w:val="Roman numeral Justified"/>
    <w:basedOn w:val="Romannumeral"/>
    <w:rsid w:val="00BF20BF"/>
    <w:pPr>
      <w:numPr>
        <w:numId w:val="0"/>
      </w:numPr>
      <w:jc w:val="both"/>
    </w:pPr>
  </w:style>
  <w:style w:type="paragraph" w:customStyle="1" w:styleId="Style1">
    <w:name w:val="Style1"/>
    <w:basedOn w:val="Normal"/>
    <w:rsid w:val="00BF20BF"/>
    <w:pPr>
      <w:numPr>
        <w:numId w:val="15"/>
      </w:numPr>
    </w:pPr>
  </w:style>
  <w:style w:type="paragraph" w:customStyle="1" w:styleId="CAR-Indent-Alpha-Upper">
    <w:name w:val="CAR-Indent-Alpha-Upper"/>
    <w:rsid w:val="00BF20BF"/>
    <w:pPr>
      <w:numPr>
        <w:numId w:val="14"/>
      </w:numPr>
      <w:spacing w:after="240" w:line="260" w:lineRule="exact"/>
    </w:pPr>
    <w:rPr>
      <w:rFonts w:ascii="Book Antiqua" w:hAnsi="Book Antiqua"/>
      <w:sz w:val="24"/>
      <w:szCs w:val="24"/>
      <w:lang w:eastAsia="en-US"/>
    </w:rPr>
  </w:style>
  <w:style w:type="paragraph" w:customStyle="1" w:styleId="CAR-TableText-Left">
    <w:name w:val="CAR-TableText-Left"/>
    <w:rsid w:val="004677CD"/>
    <w:pPr>
      <w:spacing w:before="60" w:after="60"/>
    </w:pPr>
    <w:rPr>
      <w:rFonts w:ascii="Arial" w:hAnsi="Arial"/>
      <w:color w:val="000000" w:themeColor="text1"/>
      <w:sz w:val="16"/>
      <w:szCs w:val="24"/>
      <w:lang w:eastAsia="en-US"/>
    </w:rPr>
  </w:style>
  <w:style w:type="paragraph" w:customStyle="1" w:styleId="CAR-Indent-Alpha-Lower0">
    <w:name w:val="CAR-Indent-Alpha-Lower"/>
    <w:rsid w:val="00BF20BF"/>
    <w:pPr>
      <w:numPr>
        <w:numId w:val="16"/>
      </w:numPr>
      <w:spacing w:after="240" w:line="260" w:lineRule="exact"/>
    </w:pPr>
    <w:rPr>
      <w:rFonts w:ascii="Book Antiqua" w:hAnsi="Book Antiqua"/>
      <w:sz w:val="24"/>
      <w:szCs w:val="24"/>
      <w:lang w:eastAsia="en-US"/>
    </w:rPr>
  </w:style>
  <w:style w:type="paragraph" w:customStyle="1" w:styleId="CAR-Indent-Number">
    <w:name w:val="CAR-Indent-Number"/>
    <w:rsid w:val="00BF20BF"/>
    <w:pPr>
      <w:numPr>
        <w:numId w:val="17"/>
      </w:numPr>
      <w:spacing w:after="240" w:line="260" w:lineRule="exact"/>
      <w:jc w:val="both"/>
    </w:pPr>
    <w:rPr>
      <w:rFonts w:ascii="Book Antiqua" w:hAnsi="Book Antiqua"/>
      <w:sz w:val="24"/>
      <w:szCs w:val="24"/>
      <w:lang w:eastAsia="en-US"/>
    </w:rPr>
  </w:style>
  <w:style w:type="paragraph" w:customStyle="1" w:styleId="CAR-BodyText-Just">
    <w:name w:val="CAR-BodyText-Just"/>
    <w:rsid w:val="00BF20BF"/>
    <w:pPr>
      <w:spacing w:after="240" w:line="260" w:lineRule="exact"/>
      <w:jc w:val="both"/>
    </w:pPr>
    <w:rPr>
      <w:rFonts w:ascii="Book Antiqua" w:hAnsi="Book Antiqua"/>
      <w:color w:val="000000"/>
      <w:sz w:val="24"/>
      <w:szCs w:val="24"/>
      <w:lang w:eastAsia="en-US"/>
    </w:rPr>
  </w:style>
  <w:style w:type="paragraph" w:customStyle="1" w:styleId="CAR-Heading-1">
    <w:name w:val="CAR-Heading-1"/>
    <w:rsid w:val="00BF20BF"/>
    <w:pPr>
      <w:keepNext/>
      <w:spacing w:before="240" w:after="240"/>
    </w:pPr>
    <w:rPr>
      <w:rFonts w:ascii="Arial Bold" w:hAnsi="Arial Bold"/>
      <w:b/>
      <w:color w:val="000080"/>
      <w:kern w:val="32"/>
      <w:sz w:val="32"/>
      <w:szCs w:val="24"/>
      <w:lang w:eastAsia="en-US"/>
    </w:rPr>
  </w:style>
  <w:style w:type="paragraph" w:customStyle="1" w:styleId="CAR-BodyText-Left">
    <w:name w:val="CAR-BodyText-Left"/>
    <w:rsid w:val="004677CD"/>
    <w:pPr>
      <w:spacing w:after="240" w:line="260" w:lineRule="exact"/>
    </w:pPr>
    <w:rPr>
      <w:rFonts w:ascii="Book Antiqua" w:hAnsi="Book Antiqua"/>
      <w:color w:val="000000" w:themeColor="text1"/>
      <w:lang w:eastAsia="en-US"/>
    </w:rPr>
  </w:style>
  <w:style w:type="paragraph" w:customStyle="1" w:styleId="CAR-Bullet-1">
    <w:name w:val="CAR-Bullet-1"/>
    <w:rsid w:val="006E37E2"/>
    <w:pPr>
      <w:numPr>
        <w:numId w:val="18"/>
      </w:numPr>
      <w:spacing w:after="240" w:line="260" w:lineRule="exact"/>
    </w:pPr>
    <w:rPr>
      <w:rFonts w:ascii="Book Antiqua" w:hAnsi="Book Antiqua"/>
      <w:color w:val="000000"/>
      <w:lang w:eastAsia="en-US"/>
    </w:rPr>
  </w:style>
  <w:style w:type="paragraph" w:customStyle="1" w:styleId="CAR-Flush-Alpha-Lower">
    <w:name w:val="CAR-Flush-Alpha-Lower"/>
    <w:rsid w:val="006E37E2"/>
    <w:pPr>
      <w:numPr>
        <w:numId w:val="19"/>
      </w:numPr>
      <w:spacing w:after="180" w:line="260" w:lineRule="exact"/>
    </w:pPr>
    <w:rPr>
      <w:rFonts w:ascii="Book Antiqua" w:hAnsi="Book Antiqua"/>
      <w:lang w:eastAsia="en-US"/>
    </w:rPr>
  </w:style>
  <w:style w:type="paragraph" w:customStyle="1" w:styleId="CAR-Heading-2">
    <w:name w:val="CAR-Heading-2"/>
    <w:rsid w:val="00BF20BF"/>
    <w:pPr>
      <w:keepNext/>
      <w:spacing w:before="240" w:after="120"/>
    </w:pPr>
    <w:rPr>
      <w:rFonts w:ascii="Arial Bold" w:hAnsi="Arial Bold"/>
      <w:b/>
      <w:color w:val="000080"/>
      <w:sz w:val="28"/>
      <w:szCs w:val="24"/>
      <w:lang w:eastAsia="en-US"/>
    </w:rPr>
  </w:style>
  <w:style w:type="paragraph" w:customStyle="1" w:styleId="CoverTitleMain">
    <w:name w:val="Cover Title Main"/>
    <w:basedOn w:val="HeadingBase"/>
    <w:next w:val="Normal"/>
    <w:rsid w:val="00BF20BF"/>
    <w:pPr>
      <w:spacing w:before="480" w:after="480"/>
      <w:jc w:val="center"/>
    </w:pPr>
    <w:rPr>
      <w:b/>
      <w:sz w:val="48"/>
    </w:rPr>
  </w:style>
  <w:style w:type="paragraph" w:customStyle="1" w:styleId="CoverTitleSub">
    <w:name w:val="Cover Title Sub"/>
    <w:basedOn w:val="HeadingBase"/>
    <w:rsid w:val="00BF20BF"/>
    <w:pPr>
      <w:spacing w:before="1440" w:after="360"/>
      <w:jc w:val="center"/>
    </w:pPr>
    <w:rPr>
      <w:sz w:val="36"/>
    </w:rPr>
  </w:style>
  <w:style w:type="paragraph" w:customStyle="1" w:styleId="CAR-TableText-Right">
    <w:name w:val="CAR-TableText-Right"/>
    <w:rsid w:val="00A41A58"/>
    <w:pPr>
      <w:spacing w:before="60" w:after="60"/>
      <w:jc w:val="right"/>
    </w:pPr>
    <w:rPr>
      <w:rFonts w:ascii="Arial" w:hAnsi="Arial"/>
      <w:color w:val="000000" w:themeColor="text1"/>
      <w:sz w:val="16"/>
      <w:szCs w:val="24"/>
      <w:lang w:eastAsia="en-US"/>
    </w:rPr>
  </w:style>
  <w:style w:type="paragraph" w:styleId="Caption">
    <w:name w:val="caption"/>
    <w:basedOn w:val="Normal"/>
    <w:next w:val="Normal"/>
    <w:qFormat/>
    <w:rsid w:val="00BF20BF"/>
    <w:pPr>
      <w:spacing w:before="120" w:after="120"/>
    </w:pPr>
    <w:rPr>
      <w:b/>
      <w:bCs/>
    </w:rPr>
  </w:style>
  <w:style w:type="paragraph" w:customStyle="1" w:styleId="CAR-TableColHead-Centre">
    <w:name w:val="CAR-TableColHead-Centre"/>
    <w:rsid w:val="00BF20BF"/>
    <w:pPr>
      <w:spacing w:before="40" w:after="40"/>
      <w:jc w:val="center"/>
    </w:pPr>
    <w:rPr>
      <w:rFonts w:ascii="Arial" w:hAnsi="Arial"/>
      <w:b/>
      <w:color w:val="000080"/>
      <w:sz w:val="16"/>
      <w:szCs w:val="24"/>
      <w:lang w:eastAsia="en-US"/>
    </w:rPr>
  </w:style>
  <w:style w:type="paragraph" w:customStyle="1" w:styleId="CAR-TableColHead-Left">
    <w:name w:val="CAR-TableColHead-Left"/>
    <w:rsid w:val="004677CD"/>
    <w:pPr>
      <w:spacing w:before="60" w:after="60"/>
    </w:pPr>
    <w:rPr>
      <w:rFonts w:ascii="Arial Bold" w:hAnsi="Arial Bold"/>
      <w:b/>
      <w:color w:val="000080"/>
      <w:sz w:val="16"/>
      <w:szCs w:val="24"/>
      <w:lang w:eastAsia="en-US"/>
    </w:rPr>
  </w:style>
  <w:style w:type="paragraph" w:customStyle="1" w:styleId="CAR-TableColHead-Right">
    <w:name w:val="CAR-TableColHead-Right"/>
    <w:rsid w:val="004677CD"/>
    <w:pPr>
      <w:keepNext/>
      <w:spacing w:before="60" w:after="60"/>
      <w:jc w:val="right"/>
    </w:pPr>
    <w:rPr>
      <w:rFonts w:ascii="Arial" w:hAnsi="Arial"/>
      <w:b/>
      <w:color w:val="000080"/>
      <w:sz w:val="16"/>
      <w:szCs w:val="24"/>
      <w:lang w:eastAsia="en-US"/>
    </w:rPr>
  </w:style>
  <w:style w:type="paragraph" w:customStyle="1" w:styleId="CAR-TableMainHead">
    <w:name w:val="CAR-TableMainHead"/>
    <w:next w:val="Normal"/>
    <w:rsid w:val="00BF20BF"/>
    <w:pPr>
      <w:keepNext/>
      <w:spacing w:after="20"/>
    </w:pPr>
    <w:rPr>
      <w:rFonts w:ascii="Arial" w:hAnsi="Arial"/>
      <w:b/>
      <w:color w:val="000080"/>
      <w:sz w:val="22"/>
      <w:szCs w:val="24"/>
      <w:lang w:eastAsia="en-US"/>
    </w:rPr>
  </w:style>
  <w:style w:type="paragraph" w:customStyle="1" w:styleId="CAR-Heading-3">
    <w:name w:val="CAR-Heading-3"/>
    <w:rsid w:val="00BF20BF"/>
    <w:pPr>
      <w:keepNext/>
      <w:spacing w:before="40" w:after="40"/>
    </w:pPr>
    <w:rPr>
      <w:rFonts w:ascii="Arial Bold" w:hAnsi="Arial Bold"/>
      <w:color w:val="000080"/>
      <w:sz w:val="24"/>
      <w:szCs w:val="24"/>
      <w:lang w:eastAsia="en-US"/>
    </w:rPr>
  </w:style>
  <w:style w:type="paragraph" w:customStyle="1" w:styleId="CAR-Flush-Number">
    <w:name w:val="CAR-Flush-Number"/>
    <w:rsid w:val="004C4E54"/>
    <w:pPr>
      <w:numPr>
        <w:numId w:val="22"/>
      </w:numPr>
      <w:spacing w:after="240" w:line="260" w:lineRule="exact"/>
      <w:jc w:val="both"/>
    </w:pPr>
    <w:rPr>
      <w:rFonts w:ascii="Book Antiqua" w:hAnsi="Book Antiqua"/>
      <w:szCs w:val="24"/>
      <w:lang w:eastAsia="en-US"/>
    </w:rPr>
  </w:style>
  <w:style w:type="paragraph" w:customStyle="1" w:styleId="CAR-DecisionFoot-1">
    <w:name w:val="CAR-DecisionFoot-1"/>
    <w:rsid w:val="00BF20BF"/>
    <w:pPr>
      <w:spacing w:line="260" w:lineRule="exact"/>
    </w:pPr>
    <w:rPr>
      <w:rFonts w:ascii="Book Antiqua" w:hAnsi="Book Antiqua"/>
      <w:sz w:val="24"/>
      <w:szCs w:val="24"/>
      <w:lang w:eastAsia="en-US"/>
    </w:rPr>
  </w:style>
  <w:style w:type="paragraph" w:customStyle="1" w:styleId="CAR-Indent-Roman-1">
    <w:name w:val="CAR-Indent-Roman-1"/>
    <w:rsid w:val="004C4E54"/>
    <w:pPr>
      <w:numPr>
        <w:numId w:val="20"/>
      </w:numPr>
      <w:spacing w:after="240" w:line="260" w:lineRule="exact"/>
      <w:jc w:val="both"/>
    </w:pPr>
    <w:rPr>
      <w:rFonts w:ascii="Book Antiqua" w:hAnsi="Book Antiqua"/>
      <w:szCs w:val="24"/>
      <w:lang w:eastAsia="en-US"/>
    </w:rPr>
  </w:style>
  <w:style w:type="paragraph" w:customStyle="1" w:styleId="CAR-Heading-5">
    <w:name w:val="CAR-Heading-5"/>
    <w:rsid w:val="00BF20BF"/>
    <w:pPr>
      <w:spacing w:after="240"/>
      <w:jc w:val="center"/>
    </w:pPr>
    <w:rPr>
      <w:rFonts w:ascii="Arial Bold" w:hAnsi="Arial Bold"/>
      <w:b/>
      <w:color w:val="000080"/>
      <w:kern w:val="32"/>
      <w:sz w:val="28"/>
      <w:szCs w:val="24"/>
      <w:lang w:eastAsia="en-US"/>
    </w:rPr>
  </w:style>
  <w:style w:type="paragraph" w:customStyle="1" w:styleId="CAR-Heading-4">
    <w:name w:val="CAR-Heading-4"/>
    <w:rsid w:val="00BF20BF"/>
    <w:pPr>
      <w:spacing w:after="240"/>
    </w:pPr>
    <w:rPr>
      <w:rFonts w:ascii="Arial Bold" w:hAnsi="Arial Bold"/>
      <w:b/>
      <w:color w:val="000080"/>
      <w:sz w:val="22"/>
      <w:szCs w:val="24"/>
      <w:lang w:eastAsia="en-US"/>
    </w:rPr>
  </w:style>
  <w:style w:type="paragraph" w:customStyle="1" w:styleId="CAR-Flush-Alpha-Upper">
    <w:name w:val="CAR-Flush-Alpha-Upper"/>
    <w:rsid w:val="00BF20BF"/>
    <w:pPr>
      <w:numPr>
        <w:numId w:val="21"/>
      </w:numPr>
      <w:spacing w:after="240" w:line="260" w:lineRule="exact"/>
      <w:jc w:val="both"/>
    </w:pPr>
    <w:rPr>
      <w:rFonts w:ascii="Book Antiqua" w:hAnsi="Book Antiqua"/>
      <w:sz w:val="24"/>
      <w:szCs w:val="24"/>
      <w:lang w:eastAsia="en-US"/>
    </w:rPr>
  </w:style>
  <w:style w:type="paragraph" w:customStyle="1" w:styleId="CAR-DecisionFoot-2">
    <w:name w:val="CAR-DecisionFoot-2"/>
    <w:rsid w:val="00BF20BF"/>
    <w:pPr>
      <w:spacing w:line="260" w:lineRule="exact"/>
    </w:pPr>
    <w:rPr>
      <w:rFonts w:ascii="Book Antiqua" w:hAnsi="Book Antiqua"/>
      <w:b/>
      <w:sz w:val="24"/>
      <w:szCs w:val="24"/>
      <w:lang w:eastAsia="en-US"/>
    </w:rPr>
  </w:style>
  <w:style w:type="paragraph" w:customStyle="1" w:styleId="CAR-DecisionHead">
    <w:name w:val="CAR-DecisionHead"/>
    <w:rsid w:val="004C4E54"/>
    <w:pPr>
      <w:keepNext/>
      <w:keepLines/>
      <w:spacing w:before="240" w:after="60"/>
    </w:pPr>
    <w:rPr>
      <w:rFonts w:ascii="Arial" w:hAnsi="Arial"/>
      <w:b/>
      <w:szCs w:val="24"/>
      <w:lang w:eastAsia="en-US"/>
    </w:rPr>
  </w:style>
  <w:style w:type="paragraph" w:styleId="BodyText">
    <w:name w:val="Body Text"/>
    <w:basedOn w:val="Normal"/>
    <w:semiHidden/>
    <w:rsid w:val="00BF20BF"/>
    <w:pPr>
      <w:spacing w:before="360"/>
      <w:ind w:right="561"/>
      <w:jc w:val="both"/>
    </w:pPr>
  </w:style>
  <w:style w:type="paragraph" w:styleId="BalloonText">
    <w:name w:val="Balloon Text"/>
    <w:basedOn w:val="Normal"/>
    <w:semiHidden/>
    <w:rsid w:val="00BF20BF"/>
    <w:rPr>
      <w:rFonts w:ascii="Tahoma" w:hAnsi="Tahoma" w:cs="Tahoma"/>
      <w:sz w:val="16"/>
      <w:szCs w:val="16"/>
    </w:rPr>
  </w:style>
  <w:style w:type="paragraph" w:customStyle="1" w:styleId="Text-1">
    <w:name w:val="Text-1"/>
    <w:rsid w:val="00BF20BF"/>
    <w:pPr>
      <w:spacing w:before="240"/>
      <w:ind w:left="567"/>
      <w:jc w:val="both"/>
    </w:pPr>
    <w:rPr>
      <w:rFonts w:ascii="Palatino" w:hAnsi="Palatino"/>
      <w:sz w:val="24"/>
      <w:szCs w:val="24"/>
      <w:lang w:eastAsia="en-US"/>
    </w:rPr>
  </w:style>
  <w:style w:type="paragraph" w:customStyle="1" w:styleId="LDStandard1">
    <w:name w:val="LD_Standard1"/>
    <w:basedOn w:val="Normal"/>
    <w:rsid w:val="00BF20BF"/>
    <w:pPr>
      <w:keepNext/>
      <w:keepLines/>
      <w:numPr>
        <w:numId w:val="23"/>
      </w:numPr>
      <w:spacing w:before="120" w:after="60" w:line="240" w:lineRule="auto"/>
    </w:pPr>
    <w:rPr>
      <w:rFonts w:ascii="Arial" w:hAnsi="Arial" w:cs="Arial"/>
      <w:b/>
      <w:bCs/>
      <w:color w:val="auto"/>
      <w:sz w:val="22"/>
      <w:szCs w:val="22"/>
      <w:lang w:eastAsia="en-US"/>
    </w:rPr>
  </w:style>
  <w:style w:type="paragraph" w:customStyle="1" w:styleId="LDStandard2">
    <w:name w:val="LD_Standard2"/>
    <w:basedOn w:val="Normal"/>
    <w:rsid w:val="00BF20BF"/>
    <w:pPr>
      <w:numPr>
        <w:ilvl w:val="1"/>
        <w:numId w:val="23"/>
      </w:numPr>
      <w:spacing w:before="120" w:after="0" w:line="360" w:lineRule="auto"/>
      <w:jc w:val="both"/>
    </w:pPr>
    <w:rPr>
      <w:rFonts w:ascii="Arial" w:hAnsi="Arial" w:cs="Arial"/>
      <w:color w:val="auto"/>
      <w:sz w:val="22"/>
      <w:szCs w:val="22"/>
      <w:lang w:eastAsia="en-US"/>
    </w:rPr>
  </w:style>
  <w:style w:type="paragraph" w:customStyle="1" w:styleId="LDStandard3">
    <w:name w:val="LD_Standard3"/>
    <w:basedOn w:val="Normal"/>
    <w:rsid w:val="00BF20BF"/>
    <w:pPr>
      <w:numPr>
        <w:ilvl w:val="2"/>
        <w:numId w:val="23"/>
      </w:numPr>
      <w:spacing w:before="120" w:after="0" w:line="360" w:lineRule="auto"/>
      <w:jc w:val="both"/>
    </w:pPr>
    <w:rPr>
      <w:rFonts w:ascii="Arial" w:hAnsi="Arial" w:cs="Arial"/>
      <w:color w:val="auto"/>
      <w:sz w:val="22"/>
      <w:szCs w:val="22"/>
      <w:lang w:eastAsia="en-US"/>
    </w:rPr>
  </w:style>
  <w:style w:type="paragraph" w:customStyle="1" w:styleId="LDStandard4">
    <w:name w:val="LD_Standard4"/>
    <w:basedOn w:val="Normal"/>
    <w:rsid w:val="00BF20BF"/>
    <w:pPr>
      <w:numPr>
        <w:ilvl w:val="3"/>
        <w:numId w:val="23"/>
      </w:numPr>
      <w:spacing w:before="120" w:after="0" w:line="360" w:lineRule="auto"/>
      <w:jc w:val="both"/>
    </w:pPr>
    <w:rPr>
      <w:rFonts w:ascii="Arial" w:hAnsi="Arial" w:cs="Arial"/>
      <w:color w:val="auto"/>
      <w:sz w:val="22"/>
      <w:szCs w:val="22"/>
      <w:lang w:eastAsia="en-US"/>
    </w:rPr>
  </w:style>
  <w:style w:type="paragraph" w:customStyle="1" w:styleId="LDStandard5">
    <w:name w:val="LD_Standard5"/>
    <w:basedOn w:val="Normal"/>
    <w:rsid w:val="00BF20BF"/>
    <w:pPr>
      <w:numPr>
        <w:ilvl w:val="4"/>
        <w:numId w:val="23"/>
      </w:numPr>
      <w:spacing w:before="120" w:after="0" w:line="360" w:lineRule="auto"/>
      <w:jc w:val="both"/>
    </w:pPr>
    <w:rPr>
      <w:rFonts w:ascii="Arial" w:hAnsi="Arial" w:cs="Arial"/>
      <w:color w:val="auto"/>
      <w:sz w:val="22"/>
      <w:szCs w:val="22"/>
      <w:lang w:eastAsia="en-US"/>
    </w:rPr>
  </w:style>
  <w:style w:type="paragraph" w:customStyle="1" w:styleId="LDStandard6">
    <w:name w:val="LD_Standard6"/>
    <w:basedOn w:val="Normal"/>
    <w:rsid w:val="00BF20BF"/>
    <w:pPr>
      <w:numPr>
        <w:ilvl w:val="5"/>
        <w:numId w:val="23"/>
      </w:numPr>
      <w:spacing w:before="120" w:after="0" w:line="360" w:lineRule="auto"/>
      <w:jc w:val="both"/>
    </w:pPr>
    <w:rPr>
      <w:rFonts w:ascii="Arial" w:hAnsi="Arial" w:cs="Arial"/>
      <w:color w:val="auto"/>
      <w:sz w:val="22"/>
      <w:szCs w:val="22"/>
      <w:lang w:eastAsia="en-US"/>
    </w:rPr>
  </w:style>
  <w:style w:type="paragraph" w:customStyle="1" w:styleId="Level1fo">
    <w:name w:val="Level 1.fo"/>
    <w:basedOn w:val="Normal"/>
    <w:rsid w:val="00BF20BF"/>
    <w:pPr>
      <w:spacing w:before="240" w:after="0" w:line="240" w:lineRule="auto"/>
      <w:ind w:left="720"/>
    </w:pPr>
    <w:rPr>
      <w:rFonts w:ascii="Palatino" w:hAnsi="Palatino"/>
      <w:color w:val="auto"/>
      <w:sz w:val="22"/>
      <w:lang w:eastAsia="en-US"/>
    </w:rPr>
  </w:style>
  <w:style w:type="paragraph" w:customStyle="1" w:styleId="AlphaLower-2">
    <w:name w:val="AlphaLower-2"/>
    <w:rsid w:val="00BF20BF"/>
    <w:pPr>
      <w:numPr>
        <w:numId w:val="24"/>
      </w:numPr>
      <w:tabs>
        <w:tab w:val="left" w:pos="1418"/>
      </w:tabs>
      <w:spacing w:before="240"/>
      <w:jc w:val="both"/>
    </w:pPr>
    <w:rPr>
      <w:rFonts w:ascii="Palatino" w:hAnsi="Palatino"/>
      <w:sz w:val="24"/>
      <w:szCs w:val="24"/>
      <w:lang w:eastAsia="en-US"/>
    </w:rPr>
  </w:style>
  <w:style w:type="paragraph" w:customStyle="1" w:styleId="NumLarge-1">
    <w:name w:val="NumLarge-1"/>
    <w:link w:val="NumLarge-1Char"/>
    <w:qFormat/>
    <w:rsid w:val="00BF20BF"/>
    <w:pPr>
      <w:numPr>
        <w:numId w:val="25"/>
      </w:numPr>
      <w:spacing w:after="240" w:line="260" w:lineRule="exact"/>
      <w:jc w:val="both"/>
    </w:pPr>
    <w:rPr>
      <w:rFonts w:ascii="Book Antiqua" w:hAnsi="Book Antiqua"/>
      <w:sz w:val="24"/>
      <w:szCs w:val="24"/>
      <w:lang w:eastAsia="en-US"/>
    </w:rPr>
  </w:style>
  <w:style w:type="paragraph" w:customStyle="1" w:styleId="NumSmall-3">
    <w:name w:val="NumSmall-3"/>
    <w:rsid w:val="00BF20BF"/>
    <w:pPr>
      <w:numPr>
        <w:numId w:val="26"/>
      </w:numPr>
      <w:tabs>
        <w:tab w:val="clear" w:pos="2127"/>
        <w:tab w:val="left" w:pos="2126"/>
      </w:tabs>
      <w:spacing w:before="240"/>
      <w:jc w:val="both"/>
    </w:pPr>
    <w:rPr>
      <w:rFonts w:ascii="Palatino" w:hAnsi="Palatino"/>
      <w:sz w:val="24"/>
      <w:szCs w:val="24"/>
      <w:lang w:eastAsia="en-US"/>
    </w:rPr>
  </w:style>
  <w:style w:type="paragraph" w:customStyle="1" w:styleId="BodyText-3">
    <w:name w:val="BodyText-3"/>
    <w:rsid w:val="00BF20BF"/>
    <w:pPr>
      <w:spacing w:before="120"/>
      <w:ind w:left="1418"/>
      <w:jc w:val="both"/>
    </w:pPr>
    <w:rPr>
      <w:rFonts w:ascii="Palatino" w:hAnsi="Palatino"/>
      <w:sz w:val="24"/>
      <w:szCs w:val="24"/>
      <w:lang w:eastAsia="en-US"/>
    </w:rPr>
  </w:style>
  <w:style w:type="paragraph" w:customStyle="1" w:styleId="BodyText-1">
    <w:name w:val="BodyText-1"/>
    <w:rsid w:val="00BF20BF"/>
    <w:pPr>
      <w:spacing w:before="240"/>
      <w:jc w:val="both"/>
    </w:pPr>
    <w:rPr>
      <w:rFonts w:ascii="Palatino" w:hAnsi="Palatino"/>
      <w:sz w:val="24"/>
      <w:szCs w:val="24"/>
      <w:lang w:eastAsia="en-US"/>
    </w:rPr>
  </w:style>
  <w:style w:type="character" w:styleId="CommentReference">
    <w:name w:val="annotation reference"/>
    <w:semiHidden/>
    <w:unhideWhenUsed/>
    <w:rsid w:val="00BF20BF"/>
    <w:rPr>
      <w:sz w:val="16"/>
      <w:szCs w:val="16"/>
    </w:rPr>
  </w:style>
  <w:style w:type="paragraph" w:customStyle="1" w:styleId="CAR-Indent-Asterisk">
    <w:name w:val="CAR-Indent-Asterisk"/>
    <w:rsid w:val="00BF20BF"/>
    <w:pPr>
      <w:numPr>
        <w:numId w:val="27"/>
      </w:numPr>
      <w:spacing w:before="240"/>
    </w:pPr>
    <w:rPr>
      <w:rFonts w:ascii="Book Antiqua" w:hAnsi="Book Antiqua"/>
      <w:sz w:val="24"/>
      <w:szCs w:val="24"/>
      <w:lang w:eastAsia="en-US"/>
    </w:rPr>
  </w:style>
  <w:style w:type="paragraph" w:styleId="CommentText">
    <w:name w:val="annotation text"/>
    <w:basedOn w:val="Normal"/>
    <w:semiHidden/>
    <w:unhideWhenUsed/>
    <w:rsid w:val="00BF20BF"/>
  </w:style>
  <w:style w:type="character" w:customStyle="1" w:styleId="CommentTextChar">
    <w:name w:val="Comment Text Char"/>
    <w:semiHidden/>
    <w:rsid w:val="00BF20BF"/>
    <w:rPr>
      <w:rFonts w:ascii="Book Antiqua" w:hAnsi="Book Antiqua"/>
      <w:color w:val="000000"/>
    </w:rPr>
  </w:style>
  <w:style w:type="paragraph" w:styleId="CommentSubject">
    <w:name w:val="annotation subject"/>
    <w:basedOn w:val="CommentText"/>
    <w:next w:val="CommentText"/>
    <w:semiHidden/>
    <w:unhideWhenUsed/>
    <w:rsid w:val="00BF20BF"/>
    <w:rPr>
      <w:b/>
      <w:bCs/>
    </w:rPr>
  </w:style>
  <w:style w:type="character" w:customStyle="1" w:styleId="CommentSubjectChar">
    <w:name w:val="Comment Subject Char"/>
    <w:semiHidden/>
    <w:rsid w:val="00BF20BF"/>
    <w:rPr>
      <w:rFonts w:ascii="Book Antiqua" w:hAnsi="Book Antiqua"/>
      <w:b/>
      <w:bCs/>
      <w:color w:val="000000"/>
    </w:rPr>
  </w:style>
  <w:style w:type="paragraph" w:customStyle="1" w:styleId="Default">
    <w:name w:val="Default"/>
    <w:rsid w:val="00BC397B"/>
    <w:pPr>
      <w:autoSpaceDE w:val="0"/>
      <w:autoSpaceDN w:val="0"/>
      <w:adjustRightInd w:val="0"/>
    </w:pPr>
    <w:rPr>
      <w:rFonts w:ascii="Book Antiqua" w:hAnsi="Book Antiqua" w:cs="Book Antiqua"/>
      <w:color w:val="000000"/>
      <w:sz w:val="24"/>
      <w:szCs w:val="24"/>
      <w:lang w:val="en-US" w:eastAsia="en-US"/>
    </w:rPr>
  </w:style>
  <w:style w:type="paragraph" w:customStyle="1" w:styleId="CAR-Indent-2">
    <w:name w:val="CAR-Indent-2"/>
    <w:rsid w:val="00BF20BF"/>
    <w:pPr>
      <w:autoSpaceDE w:val="0"/>
      <w:autoSpaceDN w:val="0"/>
      <w:adjustRightInd w:val="0"/>
      <w:spacing w:after="240" w:line="260" w:lineRule="exact"/>
      <w:ind w:left="1134"/>
    </w:pPr>
    <w:rPr>
      <w:rFonts w:ascii="Book Antiqua" w:hAnsi="Book Antiqua"/>
      <w:sz w:val="24"/>
      <w:szCs w:val="24"/>
      <w:lang w:val="en-US" w:eastAsia="en-US"/>
    </w:rPr>
  </w:style>
  <w:style w:type="paragraph" w:customStyle="1" w:styleId="CAR-Indent-1">
    <w:name w:val="CAR-Indent-1"/>
    <w:rsid w:val="00BF20BF"/>
    <w:pPr>
      <w:autoSpaceDE w:val="0"/>
      <w:autoSpaceDN w:val="0"/>
      <w:adjustRightInd w:val="0"/>
      <w:spacing w:after="240" w:line="260" w:lineRule="exact"/>
      <w:ind w:left="567"/>
    </w:pPr>
    <w:rPr>
      <w:rFonts w:ascii="Book Antiqua" w:hAnsi="Book Antiqua"/>
      <w:sz w:val="24"/>
      <w:szCs w:val="24"/>
      <w:lang w:val="en-US" w:eastAsia="en-US"/>
    </w:rPr>
  </w:style>
  <w:style w:type="paragraph" w:customStyle="1" w:styleId="CAR-Bullet-2">
    <w:name w:val="CAR-Bullet-2"/>
    <w:rsid w:val="00BF20BF"/>
    <w:pPr>
      <w:numPr>
        <w:numId w:val="28"/>
      </w:numPr>
      <w:tabs>
        <w:tab w:val="left" w:pos="1134"/>
      </w:tabs>
      <w:spacing w:after="240" w:line="260" w:lineRule="exact"/>
    </w:pPr>
    <w:rPr>
      <w:rFonts w:ascii="Book Antiqua" w:hAnsi="Book Antiqua"/>
      <w:sz w:val="24"/>
      <w:szCs w:val="24"/>
      <w:lang w:eastAsia="en-US"/>
    </w:rPr>
  </w:style>
  <w:style w:type="paragraph" w:customStyle="1" w:styleId="CAR-Indent-Alpha-lower">
    <w:name w:val="CAR-Indent-Alpha-lower"/>
    <w:rsid w:val="00BF20BF"/>
    <w:pPr>
      <w:numPr>
        <w:numId w:val="29"/>
      </w:numPr>
      <w:spacing w:after="240" w:line="260" w:lineRule="exact"/>
      <w:ind w:right="561"/>
    </w:pPr>
    <w:rPr>
      <w:rFonts w:ascii="Book Antiqua" w:hAnsi="Book Antiqua"/>
      <w:sz w:val="24"/>
      <w:szCs w:val="24"/>
      <w:lang w:eastAsia="en-US"/>
    </w:rPr>
  </w:style>
  <w:style w:type="paragraph" w:customStyle="1" w:styleId="CAR-Indent-Roman-2">
    <w:name w:val="CAR-Indent-Roman-2"/>
    <w:rsid w:val="00BF20BF"/>
    <w:pPr>
      <w:numPr>
        <w:numId w:val="30"/>
      </w:numPr>
      <w:tabs>
        <w:tab w:val="left" w:pos="1843"/>
      </w:tabs>
      <w:spacing w:after="240" w:line="260" w:lineRule="exact"/>
    </w:pPr>
    <w:rPr>
      <w:rFonts w:ascii="Book Antiqua" w:hAnsi="Book Antiqua"/>
      <w:sz w:val="24"/>
      <w:szCs w:val="24"/>
      <w:lang w:eastAsia="en-US"/>
    </w:rPr>
  </w:style>
  <w:style w:type="paragraph" w:styleId="Revision">
    <w:name w:val="Revision"/>
    <w:hidden/>
    <w:uiPriority w:val="99"/>
    <w:semiHidden/>
    <w:rsid w:val="00D402D3"/>
    <w:rPr>
      <w:rFonts w:ascii="Book Antiqua" w:hAnsi="Book Antiqua"/>
      <w:color w:val="000000"/>
      <w:sz w:val="24"/>
      <w:szCs w:val="24"/>
    </w:rPr>
  </w:style>
  <w:style w:type="character" w:customStyle="1" w:styleId="Heading1Char">
    <w:name w:val="Heading 1 Char"/>
    <w:link w:val="Heading1"/>
    <w:rsid w:val="00DA41E0"/>
    <w:rPr>
      <w:rFonts w:ascii="Arial" w:hAnsi="Arial" w:cs="Arial"/>
      <w:b/>
      <w:bCs/>
      <w:color w:val="000080"/>
      <w:kern w:val="32"/>
      <w:sz w:val="32"/>
      <w:szCs w:val="36"/>
    </w:rPr>
  </w:style>
  <w:style w:type="character" w:customStyle="1" w:styleId="FootnoteTextChar">
    <w:name w:val="Footnote Text Char"/>
    <w:link w:val="FootnoteText"/>
    <w:rsid w:val="000E175C"/>
    <w:rPr>
      <w:rFonts w:ascii="Book Antiqua" w:hAnsi="Book Antiqua"/>
      <w:color w:val="000000"/>
      <w:sz w:val="18"/>
      <w:szCs w:val="24"/>
    </w:rPr>
  </w:style>
  <w:style w:type="paragraph" w:styleId="ListParagraph">
    <w:name w:val="List Paragraph"/>
    <w:basedOn w:val="Normal"/>
    <w:uiPriority w:val="34"/>
    <w:qFormat/>
    <w:rsid w:val="00F607A8"/>
    <w:pPr>
      <w:ind w:left="720"/>
      <w:contextualSpacing/>
    </w:pPr>
  </w:style>
  <w:style w:type="paragraph" w:styleId="ListBullet">
    <w:name w:val="List Bullet"/>
    <w:basedOn w:val="Normal"/>
    <w:uiPriority w:val="99"/>
    <w:unhideWhenUsed/>
    <w:rsid w:val="00641761"/>
    <w:pPr>
      <w:numPr>
        <w:numId w:val="31"/>
      </w:numPr>
      <w:contextualSpacing/>
    </w:pPr>
  </w:style>
  <w:style w:type="paragraph" w:styleId="EndnoteText">
    <w:name w:val="endnote text"/>
    <w:basedOn w:val="Normal"/>
    <w:link w:val="EndnoteTextChar"/>
    <w:uiPriority w:val="99"/>
    <w:semiHidden/>
    <w:unhideWhenUsed/>
    <w:rsid w:val="002E303D"/>
    <w:pPr>
      <w:spacing w:after="0" w:line="240" w:lineRule="auto"/>
    </w:pPr>
    <w:rPr>
      <w:sz w:val="20"/>
      <w:szCs w:val="20"/>
      <w:lang w:val="x-none" w:eastAsia="x-none"/>
    </w:rPr>
  </w:style>
  <w:style w:type="character" w:customStyle="1" w:styleId="EndnoteTextChar">
    <w:name w:val="Endnote Text Char"/>
    <w:link w:val="EndnoteText"/>
    <w:uiPriority w:val="99"/>
    <w:semiHidden/>
    <w:rsid w:val="002E303D"/>
    <w:rPr>
      <w:rFonts w:ascii="Book Antiqua" w:hAnsi="Book Antiqua"/>
      <w:color w:val="000000"/>
    </w:rPr>
  </w:style>
  <w:style w:type="character" w:styleId="EndnoteReference">
    <w:name w:val="endnote reference"/>
    <w:uiPriority w:val="99"/>
    <w:semiHidden/>
    <w:unhideWhenUsed/>
    <w:rsid w:val="002E303D"/>
    <w:rPr>
      <w:vertAlign w:val="superscript"/>
    </w:rPr>
  </w:style>
  <w:style w:type="paragraph" w:styleId="NormalWeb">
    <w:name w:val="Normal (Web)"/>
    <w:basedOn w:val="Normal"/>
    <w:uiPriority w:val="99"/>
    <w:semiHidden/>
    <w:unhideWhenUsed/>
    <w:rsid w:val="00494F86"/>
    <w:rPr>
      <w:rFonts w:ascii="Times New Roman" w:hAnsi="Times New Roman"/>
    </w:rPr>
  </w:style>
  <w:style w:type="character" w:customStyle="1" w:styleId="A5">
    <w:name w:val="A5"/>
    <w:uiPriority w:val="99"/>
    <w:rsid w:val="000134B9"/>
    <w:rPr>
      <w:rFonts w:cs="Swiss 721 BT"/>
      <w:color w:val="000000"/>
      <w:sz w:val="20"/>
      <w:szCs w:val="20"/>
    </w:rPr>
  </w:style>
  <w:style w:type="paragraph" w:styleId="TOCHeading">
    <w:name w:val="TOC Heading"/>
    <w:basedOn w:val="Heading1"/>
    <w:next w:val="Normal"/>
    <w:uiPriority w:val="39"/>
    <w:unhideWhenUsed/>
    <w:qFormat/>
    <w:rsid w:val="00487C7E"/>
    <w:pPr>
      <w:keepLines/>
      <w:spacing w:before="480" w:after="0" w:line="276" w:lineRule="auto"/>
      <w:outlineLvl w:val="9"/>
    </w:pPr>
    <w:rPr>
      <w:rFonts w:ascii="Cambria" w:eastAsia="MS Gothic" w:hAnsi="Cambria"/>
      <w:color w:val="365F91"/>
      <w:kern w:val="0"/>
      <w:sz w:val="28"/>
      <w:szCs w:val="28"/>
      <w:lang w:val="en-US" w:eastAsia="ja-JP"/>
    </w:rPr>
  </w:style>
  <w:style w:type="paragraph" w:customStyle="1" w:styleId="Tabletextlarge">
    <w:name w:val="Table text large"/>
    <w:basedOn w:val="TableTextLeft"/>
    <w:qFormat/>
    <w:rsid w:val="00755D7D"/>
    <w:rPr>
      <w:rFonts w:ascii="Book Antiqua" w:hAnsi="Book Antiqua"/>
      <w:sz w:val="20"/>
    </w:rPr>
  </w:style>
  <w:style w:type="paragraph" w:customStyle="1" w:styleId="Copyrighttext">
    <w:name w:val="Copyright text"/>
    <w:basedOn w:val="CAR-BodyText-Left"/>
    <w:rsid w:val="00A70BEC"/>
    <w:pPr>
      <w:spacing w:before="120" w:after="120" w:line="240" w:lineRule="auto"/>
    </w:pPr>
    <w:rPr>
      <w:sz w:val="19"/>
      <w:szCs w:val="18"/>
    </w:rPr>
  </w:style>
  <w:style w:type="paragraph" w:customStyle="1" w:styleId="Copyrightheading">
    <w:name w:val="Copyright heading"/>
    <w:basedOn w:val="CAR-BodyText-Left"/>
    <w:rsid w:val="00A70BEC"/>
    <w:pPr>
      <w:spacing w:before="120" w:after="60" w:line="240" w:lineRule="auto"/>
    </w:pPr>
    <w:rPr>
      <w:b/>
      <w:sz w:val="19"/>
      <w:szCs w:val="18"/>
    </w:rPr>
  </w:style>
  <w:style w:type="character" w:customStyle="1" w:styleId="NumLarge-1Char">
    <w:name w:val="NumLarge-1 Char"/>
    <w:link w:val="NumLarge-1"/>
    <w:rsid w:val="008B62A6"/>
    <w:rPr>
      <w:rFonts w:ascii="Book Antiqua" w:hAnsi="Book Antiqua"/>
      <w:sz w:val="24"/>
      <w:szCs w:val="24"/>
      <w:lang w:eastAsia="en-US"/>
    </w:rPr>
  </w:style>
  <w:style w:type="paragraph" w:customStyle="1" w:styleId="AlphaLower-2-Bold">
    <w:name w:val="AlphaLower-2-Bold"/>
    <w:rsid w:val="001B17DC"/>
    <w:pPr>
      <w:numPr>
        <w:numId w:val="32"/>
      </w:numPr>
      <w:spacing w:before="240"/>
      <w:jc w:val="both"/>
    </w:pPr>
    <w:rPr>
      <w:rFonts w:ascii="Palatino" w:hAnsi="Palatino"/>
      <w:b/>
      <w:sz w:val="24"/>
      <w:szCs w:val="24"/>
      <w:lang w:eastAsia="en-US"/>
    </w:rPr>
  </w:style>
  <w:style w:type="character" w:customStyle="1" w:styleId="hps-normal1">
    <w:name w:val="hps-normal1"/>
    <w:basedOn w:val="DefaultParagraphFont"/>
    <w:rsid w:val="00CC4773"/>
  </w:style>
  <w:style w:type="paragraph" w:customStyle="1" w:styleId="BulletSubpoint">
    <w:name w:val="Bullet Sub point"/>
    <w:basedOn w:val="Normal"/>
    <w:link w:val="BulletSubpointChar"/>
    <w:rsid w:val="0000696C"/>
    <w:pPr>
      <w:tabs>
        <w:tab w:val="num" w:pos="1080"/>
      </w:tabs>
      <w:spacing w:after="0" w:line="240" w:lineRule="auto"/>
      <w:ind w:left="1080" w:hanging="360"/>
    </w:pPr>
    <w:rPr>
      <w:rFonts w:ascii="Times New Roman" w:hAnsi="Times New Roman"/>
      <w:color w:val="auto"/>
      <w:sz w:val="22"/>
      <w:szCs w:val="20"/>
      <w:lang w:val="en-US" w:eastAsia="en-US"/>
    </w:rPr>
  </w:style>
  <w:style w:type="character" w:customStyle="1" w:styleId="BulletSubpointChar">
    <w:name w:val="Bullet Sub point Char"/>
    <w:basedOn w:val="DefaultParagraphFont"/>
    <w:link w:val="BulletSubpoint"/>
    <w:rsid w:val="0000696C"/>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006">
      <w:bodyDiv w:val="1"/>
      <w:marLeft w:val="0"/>
      <w:marRight w:val="0"/>
      <w:marTop w:val="0"/>
      <w:marBottom w:val="0"/>
      <w:divBdr>
        <w:top w:val="none" w:sz="0" w:space="0" w:color="auto"/>
        <w:left w:val="none" w:sz="0" w:space="0" w:color="auto"/>
        <w:bottom w:val="none" w:sz="0" w:space="0" w:color="auto"/>
        <w:right w:val="none" w:sz="0" w:space="0" w:color="auto"/>
      </w:divBdr>
      <w:divsChild>
        <w:div w:id="2020345796">
          <w:marLeft w:val="0"/>
          <w:marRight w:val="0"/>
          <w:marTop w:val="0"/>
          <w:marBottom w:val="0"/>
          <w:divBdr>
            <w:top w:val="none" w:sz="0" w:space="0" w:color="auto"/>
            <w:left w:val="none" w:sz="0" w:space="0" w:color="auto"/>
            <w:bottom w:val="none" w:sz="0" w:space="0" w:color="auto"/>
            <w:right w:val="none" w:sz="0" w:space="0" w:color="auto"/>
          </w:divBdr>
        </w:div>
      </w:divsChild>
    </w:div>
    <w:div w:id="284851257">
      <w:bodyDiv w:val="1"/>
      <w:marLeft w:val="0"/>
      <w:marRight w:val="0"/>
      <w:marTop w:val="0"/>
      <w:marBottom w:val="0"/>
      <w:divBdr>
        <w:top w:val="none" w:sz="0" w:space="0" w:color="auto"/>
        <w:left w:val="none" w:sz="0" w:space="0" w:color="auto"/>
        <w:bottom w:val="none" w:sz="0" w:space="0" w:color="auto"/>
        <w:right w:val="none" w:sz="0" w:space="0" w:color="auto"/>
      </w:divBdr>
    </w:div>
    <w:div w:id="536435894">
      <w:bodyDiv w:val="1"/>
      <w:marLeft w:val="0"/>
      <w:marRight w:val="0"/>
      <w:marTop w:val="0"/>
      <w:marBottom w:val="0"/>
      <w:divBdr>
        <w:top w:val="none" w:sz="0" w:space="0" w:color="auto"/>
        <w:left w:val="none" w:sz="0" w:space="0" w:color="auto"/>
        <w:bottom w:val="none" w:sz="0" w:space="0" w:color="auto"/>
        <w:right w:val="none" w:sz="0" w:space="0" w:color="auto"/>
      </w:divBdr>
      <w:divsChild>
        <w:div w:id="444038530">
          <w:marLeft w:val="0"/>
          <w:marRight w:val="0"/>
          <w:marTop w:val="0"/>
          <w:marBottom w:val="0"/>
          <w:divBdr>
            <w:top w:val="none" w:sz="0" w:space="0" w:color="auto"/>
            <w:left w:val="none" w:sz="0" w:space="0" w:color="auto"/>
            <w:bottom w:val="none" w:sz="0" w:space="0" w:color="auto"/>
            <w:right w:val="none" w:sz="0" w:space="0" w:color="auto"/>
          </w:divBdr>
        </w:div>
      </w:divsChild>
    </w:div>
    <w:div w:id="541527087">
      <w:bodyDiv w:val="1"/>
      <w:marLeft w:val="0"/>
      <w:marRight w:val="0"/>
      <w:marTop w:val="0"/>
      <w:marBottom w:val="0"/>
      <w:divBdr>
        <w:top w:val="none" w:sz="0" w:space="0" w:color="auto"/>
        <w:left w:val="none" w:sz="0" w:space="0" w:color="auto"/>
        <w:bottom w:val="none" w:sz="0" w:space="0" w:color="auto"/>
        <w:right w:val="none" w:sz="0" w:space="0" w:color="auto"/>
      </w:divBdr>
    </w:div>
    <w:div w:id="1142305573">
      <w:bodyDiv w:val="1"/>
      <w:marLeft w:val="0"/>
      <w:marRight w:val="0"/>
      <w:marTop w:val="0"/>
      <w:marBottom w:val="0"/>
      <w:divBdr>
        <w:top w:val="none" w:sz="0" w:space="0" w:color="auto"/>
        <w:left w:val="none" w:sz="0" w:space="0" w:color="auto"/>
        <w:bottom w:val="none" w:sz="0" w:space="0" w:color="auto"/>
        <w:right w:val="none" w:sz="0" w:space="0" w:color="auto"/>
      </w:divBdr>
    </w:div>
    <w:div w:id="1495489390">
      <w:bodyDiv w:val="1"/>
      <w:marLeft w:val="0"/>
      <w:marRight w:val="0"/>
      <w:marTop w:val="0"/>
      <w:marBottom w:val="0"/>
      <w:divBdr>
        <w:top w:val="none" w:sz="0" w:space="0" w:color="auto"/>
        <w:left w:val="none" w:sz="0" w:space="0" w:color="auto"/>
        <w:bottom w:val="none" w:sz="0" w:space="0" w:color="auto"/>
        <w:right w:val="none" w:sz="0" w:space="0" w:color="auto"/>
      </w:divBdr>
    </w:div>
    <w:div w:id="1552568905">
      <w:bodyDiv w:val="1"/>
      <w:marLeft w:val="0"/>
      <w:marRight w:val="0"/>
      <w:marTop w:val="0"/>
      <w:marBottom w:val="0"/>
      <w:divBdr>
        <w:top w:val="none" w:sz="0" w:space="0" w:color="auto"/>
        <w:left w:val="none" w:sz="0" w:space="0" w:color="auto"/>
        <w:bottom w:val="none" w:sz="0" w:space="0" w:color="auto"/>
        <w:right w:val="none" w:sz="0" w:space="0" w:color="auto"/>
      </w:divBdr>
      <w:divsChild>
        <w:div w:id="663360696">
          <w:marLeft w:val="0"/>
          <w:marRight w:val="0"/>
          <w:marTop w:val="0"/>
          <w:marBottom w:val="0"/>
          <w:divBdr>
            <w:top w:val="none" w:sz="0" w:space="0" w:color="auto"/>
            <w:left w:val="none" w:sz="0" w:space="0" w:color="auto"/>
            <w:bottom w:val="none" w:sz="0" w:space="0" w:color="auto"/>
            <w:right w:val="none" w:sz="0" w:space="0" w:color="auto"/>
          </w:divBdr>
          <w:divsChild>
            <w:div w:id="287902124">
              <w:marLeft w:val="0"/>
              <w:marRight w:val="0"/>
              <w:marTop w:val="0"/>
              <w:marBottom w:val="0"/>
              <w:divBdr>
                <w:top w:val="none" w:sz="0" w:space="0" w:color="auto"/>
                <w:left w:val="none" w:sz="0" w:space="0" w:color="auto"/>
                <w:bottom w:val="none" w:sz="0" w:space="0" w:color="auto"/>
                <w:right w:val="none" w:sz="0" w:space="0" w:color="auto"/>
              </w:divBdr>
              <w:divsChild>
                <w:div w:id="1767968082">
                  <w:marLeft w:val="0"/>
                  <w:marRight w:val="0"/>
                  <w:marTop w:val="100"/>
                  <w:marBottom w:val="100"/>
                  <w:divBdr>
                    <w:top w:val="none" w:sz="0" w:space="0" w:color="auto"/>
                    <w:left w:val="none" w:sz="0" w:space="0" w:color="auto"/>
                    <w:bottom w:val="none" w:sz="0" w:space="0" w:color="auto"/>
                    <w:right w:val="none" w:sz="0" w:space="0" w:color="auto"/>
                  </w:divBdr>
                  <w:divsChild>
                    <w:div w:id="1823304684">
                      <w:marLeft w:val="1"/>
                      <w:marRight w:val="1"/>
                      <w:marTop w:val="0"/>
                      <w:marBottom w:val="0"/>
                      <w:divBdr>
                        <w:top w:val="none" w:sz="0" w:space="0" w:color="auto"/>
                        <w:left w:val="none" w:sz="0" w:space="0" w:color="auto"/>
                        <w:bottom w:val="none" w:sz="0" w:space="0" w:color="auto"/>
                        <w:right w:val="none" w:sz="0" w:space="0" w:color="auto"/>
                      </w:divBdr>
                      <w:divsChild>
                        <w:div w:id="1599488331">
                          <w:marLeft w:val="-1"/>
                          <w:marRight w:val="-1"/>
                          <w:marTop w:val="0"/>
                          <w:marBottom w:val="0"/>
                          <w:divBdr>
                            <w:top w:val="none" w:sz="0" w:space="0" w:color="auto"/>
                            <w:left w:val="none" w:sz="0" w:space="0" w:color="auto"/>
                            <w:bottom w:val="none" w:sz="0" w:space="0" w:color="auto"/>
                            <w:right w:val="none" w:sz="0" w:space="0" w:color="auto"/>
                          </w:divBdr>
                          <w:divsChild>
                            <w:div w:id="25055494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2502">
      <w:bodyDiv w:val="1"/>
      <w:marLeft w:val="0"/>
      <w:marRight w:val="0"/>
      <w:marTop w:val="0"/>
      <w:marBottom w:val="0"/>
      <w:divBdr>
        <w:top w:val="none" w:sz="0" w:space="0" w:color="auto"/>
        <w:left w:val="none" w:sz="0" w:space="0" w:color="auto"/>
        <w:bottom w:val="none" w:sz="0" w:space="0" w:color="auto"/>
        <w:right w:val="none" w:sz="0" w:space="0" w:color="auto"/>
      </w:divBdr>
    </w:div>
    <w:div w:id="1808161767">
      <w:bodyDiv w:val="1"/>
      <w:marLeft w:val="0"/>
      <w:marRight w:val="0"/>
      <w:marTop w:val="0"/>
      <w:marBottom w:val="0"/>
      <w:divBdr>
        <w:top w:val="none" w:sz="0" w:space="0" w:color="auto"/>
        <w:left w:val="none" w:sz="0" w:space="0" w:color="auto"/>
        <w:bottom w:val="none" w:sz="0" w:space="0" w:color="auto"/>
        <w:right w:val="none" w:sz="0" w:space="0" w:color="auto"/>
      </w:divBdr>
      <w:divsChild>
        <w:div w:id="23713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1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1600">
      <w:bodyDiv w:val="1"/>
      <w:marLeft w:val="0"/>
      <w:marRight w:val="0"/>
      <w:marTop w:val="0"/>
      <w:marBottom w:val="0"/>
      <w:divBdr>
        <w:top w:val="none" w:sz="0" w:space="0" w:color="auto"/>
        <w:left w:val="none" w:sz="0" w:space="0" w:color="auto"/>
        <w:bottom w:val="none" w:sz="0" w:space="0" w:color="auto"/>
        <w:right w:val="none" w:sz="0" w:space="0" w:color="auto"/>
      </w:divBdr>
      <w:divsChild>
        <w:div w:id="174117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creativecommons.org/licenses/by/3.0/au/deed.en" TargetMode="External"/><Relationship Id="rId26" Type="http://schemas.openxmlformats.org/officeDocument/2006/relationships/hyperlink" Target="http://www.cadb.gov.au"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34" Type="http://schemas.openxmlformats.org/officeDocument/2006/relationships/hyperlink" Target="http://www.cadb.gov.au"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mailto:gary.hoare@cadb.gov.au" TargetMode="External"/><Relationship Id="rId33" Type="http://schemas.openxmlformats.org/officeDocument/2006/relationships/footer" Target="footer5.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hyperlink" Target="http://www.cadb.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hyperlink" Target="http://www.caldb.gov.au" TargetMode="External"/><Relationship Id="rId40"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medialiaison@treasury.gov.au" TargetMode="External"/><Relationship Id="rId28" Type="http://schemas.openxmlformats.org/officeDocument/2006/relationships/footer" Target="footer3.xml"/><Relationship Id="rId36" Type="http://schemas.openxmlformats.org/officeDocument/2006/relationships/header" Target="header7.xml"/><Relationship Id="rId10" Type="http://schemas.microsoft.com/office/2007/relationships/stylesWithEffects" Target="stylesWithEffects.xml"/><Relationship Id="rId19" Type="http://schemas.openxmlformats.org/officeDocument/2006/relationships/hyperlink" Target="http://creativecommons.org/licenses/by/3.0/au/legalcode"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itsanhonour.gov.a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4dd4adf-ddb3-46a3-8d7c-fab3fb2a6bc7">2016MG-88-94256</_dlc_DocId>
    <_dlc_DocIdUrl xmlns="d4dd4adf-ddb3-46a3-8d7c-fab3fb2a6bc7">
      <Url>http://tweb/sites/mg/fsd/_layouts/15/DocIdRedir.aspx?ID=2016MG-88-94256</Url>
      <Description>2016MG-88-94256</Description>
    </_dlc_DocIdUrl>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21" ma:contentTypeDescription=" " ma:contentTypeScope="" ma:versionID="4d74aa535ebe8a37b53c988ad27e85cd">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1fe738e203acaad7543a1616026fe72c"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219C-F655-4949-8AEC-19B0A1A68020}">
  <ds:schemaRefs>
    <ds:schemaRef ds:uri="office.server.policy"/>
  </ds:schemaRefs>
</ds:datastoreItem>
</file>

<file path=customXml/itemProps2.xml><?xml version="1.0" encoding="utf-8"?>
<ds:datastoreItem xmlns:ds="http://schemas.openxmlformats.org/officeDocument/2006/customXml" ds:itemID="{903E5AD9-24C0-4979-A082-C4284D0B3A45}">
  <ds:schemaRefs>
    <ds:schemaRef ds:uri="http://schemas.microsoft.com/sharepoint/v3/contenttype/forms"/>
  </ds:schemaRefs>
</ds:datastoreItem>
</file>

<file path=customXml/itemProps3.xml><?xml version="1.0" encoding="utf-8"?>
<ds:datastoreItem xmlns:ds="http://schemas.openxmlformats.org/officeDocument/2006/customXml" ds:itemID="{55A32371-09CB-4401-93DA-B5155872955A}">
  <ds:schemaRefs>
    <ds:schemaRef ds:uri="http://schemas.microsoft.com/office/2006/metadata/longProperties"/>
  </ds:schemaRefs>
</ds:datastoreItem>
</file>

<file path=customXml/itemProps4.xml><?xml version="1.0" encoding="utf-8"?>
<ds:datastoreItem xmlns:ds="http://schemas.openxmlformats.org/officeDocument/2006/customXml" ds:itemID="{1EA5437B-97EC-48BB-ADF8-DCBA1BEFA083}">
  <ds:schemaRefs>
    <ds:schemaRef ds:uri="http://schemas.microsoft.com/sharepoint/v4"/>
    <ds:schemaRef ds:uri="d4dd4adf-ddb3-46a3-8d7c-fab3fb2a6bc7"/>
    <ds:schemaRef ds:uri="http://purl.org/dc/terms/"/>
    <ds:schemaRef ds:uri="http://schemas.microsoft.com/office/2006/documentManagement/types"/>
    <ds:schemaRef ds:uri="http://www.w3.org/XML/1998/namespace"/>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BF49D83-2828-4FC6-A747-4552C4BE6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178352-1ABA-4ACE-8DD5-DB1537C68298}">
  <ds:schemaRefs>
    <ds:schemaRef ds:uri="http://schemas.microsoft.com/sharepoint/events"/>
  </ds:schemaRefs>
</ds:datastoreItem>
</file>

<file path=customXml/itemProps7.xml><?xml version="1.0" encoding="utf-8"?>
<ds:datastoreItem xmlns:ds="http://schemas.openxmlformats.org/officeDocument/2006/customXml" ds:itemID="{0FFE782B-0AD6-41C6-A12E-B94CD23F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Companies Auditors Liquidators Disciplinary Board</vt:lpstr>
    </vt:vector>
  </TitlesOfParts>
  <Company>Companies Auditors Liquidators Disciplinary Board</Company>
  <LinksUpToDate>false</LinksUpToDate>
  <CharactersWithSpaces>55080</CharactersWithSpaces>
  <SharedDoc>false</SharedDoc>
  <HLinks>
    <vt:vector size="270" baseType="variant">
      <vt:variant>
        <vt:i4>1638479</vt:i4>
      </vt:variant>
      <vt:variant>
        <vt:i4>240</vt:i4>
      </vt:variant>
      <vt:variant>
        <vt:i4>0</vt:i4>
      </vt:variant>
      <vt:variant>
        <vt:i4>5</vt:i4>
      </vt:variant>
      <vt:variant>
        <vt:lpwstr>http://www.caldb.gov.au/</vt:lpwstr>
      </vt:variant>
      <vt:variant>
        <vt:lpwstr/>
      </vt:variant>
      <vt:variant>
        <vt:i4>1638479</vt:i4>
      </vt:variant>
      <vt:variant>
        <vt:i4>237</vt:i4>
      </vt:variant>
      <vt:variant>
        <vt:i4>0</vt:i4>
      </vt:variant>
      <vt:variant>
        <vt:i4>5</vt:i4>
      </vt:variant>
      <vt:variant>
        <vt:lpwstr>http://www.caldb.gov.au/</vt:lpwstr>
      </vt:variant>
      <vt:variant>
        <vt:lpwstr/>
      </vt:variant>
      <vt:variant>
        <vt:i4>1638479</vt:i4>
      </vt:variant>
      <vt:variant>
        <vt:i4>234</vt:i4>
      </vt:variant>
      <vt:variant>
        <vt:i4>0</vt:i4>
      </vt:variant>
      <vt:variant>
        <vt:i4>5</vt:i4>
      </vt:variant>
      <vt:variant>
        <vt:lpwstr>http://www.caldb.gov.au/</vt:lpwstr>
      </vt:variant>
      <vt:variant>
        <vt:lpwstr/>
      </vt:variant>
      <vt:variant>
        <vt:i4>1966136</vt:i4>
      </vt:variant>
      <vt:variant>
        <vt:i4>227</vt:i4>
      </vt:variant>
      <vt:variant>
        <vt:i4>0</vt:i4>
      </vt:variant>
      <vt:variant>
        <vt:i4>5</vt:i4>
      </vt:variant>
      <vt:variant>
        <vt:lpwstr/>
      </vt:variant>
      <vt:variant>
        <vt:lpwstr>_Toc394067977</vt:lpwstr>
      </vt:variant>
      <vt:variant>
        <vt:i4>1966136</vt:i4>
      </vt:variant>
      <vt:variant>
        <vt:i4>221</vt:i4>
      </vt:variant>
      <vt:variant>
        <vt:i4>0</vt:i4>
      </vt:variant>
      <vt:variant>
        <vt:i4>5</vt:i4>
      </vt:variant>
      <vt:variant>
        <vt:lpwstr/>
      </vt:variant>
      <vt:variant>
        <vt:lpwstr>_Toc394067976</vt:lpwstr>
      </vt:variant>
      <vt:variant>
        <vt:i4>1966136</vt:i4>
      </vt:variant>
      <vt:variant>
        <vt:i4>215</vt:i4>
      </vt:variant>
      <vt:variant>
        <vt:i4>0</vt:i4>
      </vt:variant>
      <vt:variant>
        <vt:i4>5</vt:i4>
      </vt:variant>
      <vt:variant>
        <vt:lpwstr/>
      </vt:variant>
      <vt:variant>
        <vt:lpwstr>_Toc394067975</vt:lpwstr>
      </vt:variant>
      <vt:variant>
        <vt:i4>1966136</vt:i4>
      </vt:variant>
      <vt:variant>
        <vt:i4>209</vt:i4>
      </vt:variant>
      <vt:variant>
        <vt:i4>0</vt:i4>
      </vt:variant>
      <vt:variant>
        <vt:i4>5</vt:i4>
      </vt:variant>
      <vt:variant>
        <vt:lpwstr/>
      </vt:variant>
      <vt:variant>
        <vt:lpwstr>_Toc394067974</vt:lpwstr>
      </vt:variant>
      <vt:variant>
        <vt:i4>1966136</vt:i4>
      </vt:variant>
      <vt:variant>
        <vt:i4>203</vt:i4>
      </vt:variant>
      <vt:variant>
        <vt:i4>0</vt:i4>
      </vt:variant>
      <vt:variant>
        <vt:i4>5</vt:i4>
      </vt:variant>
      <vt:variant>
        <vt:lpwstr/>
      </vt:variant>
      <vt:variant>
        <vt:lpwstr>_Toc394067973</vt:lpwstr>
      </vt:variant>
      <vt:variant>
        <vt:i4>1966136</vt:i4>
      </vt:variant>
      <vt:variant>
        <vt:i4>197</vt:i4>
      </vt:variant>
      <vt:variant>
        <vt:i4>0</vt:i4>
      </vt:variant>
      <vt:variant>
        <vt:i4>5</vt:i4>
      </vt:variant>
      <vt:variant>
        <vt:lpwstr/>
      </vt:variant>
      <vt:variant>
        <vt:lpwstr>_Toc394067972</vt:lpwstr>
      </vt:variant>
      <vt:variant>
        <vt:i4>1966136</vt:i4>
      </vt:variant>
      <vt:variant>
        <vt:i4>191</vt:i4>
      </vt:variant>
      <vt:variant>
        <vt:i4>0</vt:i4>
      </vt:variant>
      <vt:variant>
        <vt:i4>5</vt:i4>
      </vt:variant>
      <vt:variant>
        <vt:lpwstr/>
      </vt:variant>
      <vt:variant>
        <vt:lpwstr>_Toc394067971</vt:lpwstr>
      </vt:variant>
      <vt:variant>
        <vt:i4>1966136</vt:i4>
      </vt:variant>
      <vt:variant>
        <vt:i4>185</vt:i4>
      </vt:variant>
      <vt:variant>
        <vt:i4>0</vt:i4>
      </vt:variant>
      <vt:variant>
        <vt:i4>5</vt:i4>
      </vt:variant>
      <vt:variant>
        <vt:lpwstr/>
      </vt:variant>
      <vt:variant>
        <vt:lpwstr>_Toc394067970</vt:lpwstr>
      </vt:variant>
      <vt:variant>
        <vt:i4>2031672</vt:i4>
      </vt:variant>
      <vt:variant>
        <vt:i4>179</vt:i4>
      </vt:variant>
      <vt:variant>
        <vt:i4>0</vt:i4>
      </vt:variant>
      <vt:variant>
        <vt:i4>5</vt:i4>
      </vt:variant>
      <vt:variant>
        <vt:lpwstr/>
      </vt:variant>
      <vt:variant>
        <vt:lpwstr>_Toc394067969</vt:lpwstr>
      </vt:variant>
      <vt:variant>
        <vt:i4>2031672</vt:i4>
      </vt:variant>
      <vt:variant>
        <vt:i4>173</vt:i4>
      </vt:variant>
      <vt:variant>
        <vt:i4>0</vt:i4>
      </vt:variant>
      <vt:variant>
        <vt:i4>5</vt:i4>
      </vt:variant>
      <vt:variant>
        <vt:lpwstr/>
      </vt:variant>
      <vt:variant>
        <vt:lpwstr>_Toc394067968</vt:lpwstr>
      </vt:variant>
      <vt:variant>
        <vt:i4>2031672</vt:i4>
      </vt:variant>
      <vt:variant>
        <vt:i4>167</vt:i4>
      </vt:variant>
      <vt:variant>
        <vt:i4>0</vt:i4>
      </vt:variant>
      <vt:variant>
        <vt:i4>5</vt:i4>
      </vt:variant>
      <vt:variant>
        <vt:lpwstr/>
      </vt:variant>
      <vt:variant>
        <vt:lpwstr>_Toc394067967</vt:lpwstr>
      </vt:variant>
      <vt:variant>
        <vt:i4>2031672</vt:i4>
      </vt:variant>
      <vt:variant>
        <vt:i4>161</vt:i4>
      </vt:variant>
      <vt:variant>
        <vt:i4>0</vt:i4>
      </vt:variant>
      <vt:variant>
        <vt:i4>5</vt:i4>
      </vt:variant>
      <vt:variant>
        <vt:lpwstr/>
      </vt:variant>
      <vt:variant>
        <vt:lpwstr>_Toc394067966</vt:lpwstr>
      </vt:variant>
      <vt:variant>
        <vt:i4>2031672</vt:i4>
      </vt:variant>
      <vt:variant>
        <vt:i4>155</vt:i4>
      </vt:variant>
      <vt:variant>
        <vt:i4>0</vt:i4>
      </vt:variant>
      <vt:variant>
        <vt:i4>5</vt:i4>
      </vt:variant>
      <vt:variant>
        <vt:lpwstr/>
      </vt:variant>
      <vt:variant>
        <vt:lpwstr>_Toc394067965</vt:lpwstr>
      </vt:variant>
      <vt:variant>
        <vt:i4>2031672</vt:i4>
      </vt:variant>
      <vt:variant>
        <vt:i4>149</vt:i4>
      </vt:variant>
      <vt:variant>
        <vt:i4>0</vt:i4>
      </vt:variant>
      <vt:variant>
        <vt:i4>5</vt:i4>
      </vt:variant>
      <vt:variant>
        <vt:lpwstr/>
      </vt:variant>
      <vt:variant>
        <vt:lpwstr>_Toc394067964</vt:lpwstr>
      </vt:variant>
      <vt:variant>
        <vt:i4>2031672</vt:i4>
      </vt:variant>
      <vt:variant>
        <vt:i4>143</vt:i4>
      </vt:variant>
      <vt:variant>
        <vt:i4>0</vt:i4>
      </vt:variant>
      <vt:variant>
        <vt:i4>5</vt:i4>
      </vt:variant>
      <vt:variant>
        <vt:lpwstr/>
      </vt:variant>
      <vt:variant>
        <vt:lpwstr>_Toc394067963</vt:lpwstr>
      </vt:variant>
      <vt:variant>
        <vt:i4>2031672</vt:i4>
      </vt:variant>
      <vt:variant>
        <vt:i4>137</vt:i4>
      </vt:variant>
      <vt:variant>
        <vt:i4>0</vt:i4>
      </vt:variant>
      <vt:variant>
        <vt:i4>5</vt:i4>
      </vt:variant>
      <vt:variant>
        <vt:lpwstr/>
      </vt:variant>
      <vt:variant>
        <vt:lpwstr>_Toc394067962</vt:lpwstr>
      </vt:variant>
      <vt:variant>
        <vt:i4>2031672</vt:i4>
      </vt:variant>
      <vt:variant>
        <vt:i4>131</vt:i4>
      </vt:variant>
      <vt:variant>
        <vt:i4>0</vt:i4>
      </vt:variant>
      <vt:variant>
        <vt:i4>5</vt:i4>
      </vt:variant>
      <vt:variant>
        <vt:lpwstr/>
      </vt:variant>
      <vt:variant>
        <vt:lpwstr>_Toc394067961</vt:lpwstr>
      </vt:variant>
      <vt:variant>
        <vt:i4>2031672</vt:i4>
      </vt:variant>
      <vt:variant>
        <vt:i4>125</vt:i4>
      </vt:variant>
      <vt:variant>
        <vt:i4>0</vt:i4>
      </vt:variant>
      <vt:variant>
        <vt:i4>5</vt:i4>
      </vt:variant>
      <vt:variant>
        <vt:lpwstr/>
      </vt:variant>
      <vt:variant>
        <vt:lpwstr>_Toc394067960</vt:lpwstr>
      </vt:variant>
      <vt:variant>
        <vt:i4>1835064</vt:i4>
      </vt:variant>
      <vt:variant>
        <vt:i4>119</vt:i4>
      </vt:variant>
      <vt:variant>
        <vt:i4>0</vt:i4>
      </vt:variant>
      <vt:variant>
        <vt:i4>5</vt:i4>
      </vt:variant>
      <vt:variant>
        <vt:lpwstr/>
      </vt:variant>
      <vt:variant>
        <vt:lpwstr>_Toc394067959</vt:lpwstr>
      </vt:variant>
      <vt:variant>
        <vt:i4>1835064</vt:i4>
      </vt:variant>
      <vt:variant>
        <vt:i4>113</vt:i4>
      </vt:variant>
      <vt:variant>
        <vt:i4>0</vt:i4>
      </vt:variant>
      <vt:variant>
        <vt:i4>5</vt:i4>
      </vt:variant>
      <vt:variant>
        <vt:lpwstr/>
      </vt:variant>
      <vt:variant>
        <vt:lpwstr>_Toc394067958</vt:lpwstr>
      </vt:variant>
      <vt:variant>
        <vt:i4>1835064</vt:i4>
      </vt:variant>
      <vt:variant>
        <vt:i4>107</vt:i4>
      </vt:variant>
      <vt:variant>
        <vt:i4>0</vt:i4>
      </vt:variant>
      <vt:variant>
        <vt:i4>5</vt:i4>
      </vt:variant>
      <vt:variant>
        <vt:lpwstr/>
      </vt:variant>
      <vt:variant>
        <vt:lpwstr>_Toc394067957</vt:lpwstr>
      </vt:variant>
      <vt:variant>
        <vt:i4>1835064</vt:i4>
      </vt:variant>
      <vt:variant>
        <vt:i4>101</vt:i4>
      </vt:variant>
      <vt:variant>
        <vt:i4>0</vt:i4>
      </vt:variant>
      <vt:variant>
        <vt:i4>5</vt:i4>
      </vt:variant>
      <vt:variant>
        <vt:lpwstr/>
      </vt:variant>
      <vt:variant>
        <vt:lpwstr>_Toc394067956</vt:lpwstr>
      </vt:variant>
      <vt:variant>
        <vt:i4>1835064</vt:i4>
      </vt:variant>
      <vt:variant>
        <vt:i4>95</vt:i4>
      </vt:variant>
      <vt:variant>
        <vt:i4>0</vt:i4>
      </vt:variant>
      <vt:variant>
        <vt:i4>5</vt:i4>
      </vt:variant>
      <vt:variant>
        <vt:lpwstr/>
      </vt:variant>
      <vt:variant>
        <vt:lpwstr>_Toc394067955</vt:lpwstr>
      </vt:variant>
      <vt:variant>
        <vt:i4>1835064</vt:i4>
      </vt:variant>
      <vt:variant>
        <vt:i4>89</vt:i4>
      </vt:variant>
      <vt:variant>
        <vt:i4>0</vt:i4>
      </vt:variant>
      <vt:variant>
        <vt:i4>5</vt:i4>
      </vt:variant>
      <vt:variant>
        <vt:lpwstr/>
      </vt:variant>
      <vt:variant>
        <vt:lpwstr>_Toc394067954</vt:lpwstr>
      </vt:variant>
      <vt:variant>
        <vt:i4>1835064</vt:i4>
      </vt:variant>
      <vt:variant>
        <vt:i4>83</vt:i4>
      </vt:variant>
      <vt:variant>
        <vt:i4>0</vt:i4>
      </vt:variant>
      <vt:variant>
        <vt:i4>5</vt:i4>
      </vt:variant>
      <vt:variant>
        <vt:lpwstr/>
      </vt:variant>
      <vt:variant>
        <vt:lpwstr>_Toc394067953</vt:lpwstr>
      </vt:variant>
      <vt:variant>
        <vt:i4>1835064</vt:i4>
      </vt:variant>
      <vt:variant>
        <vt:i4>77</vt:i4>
      </vt:variant>
      <vt:variant>
        <vt:i4>0</vt:i4>
      </vt:variant>
      <vt:variant>
        <vt:i4>5</vt:i4>
      </vt:variant>
      <vt:variant>
        <vt:lpwstr/>
      </vt:variant>
      <vt:variant>
        <vt:lpwstr>_Toc394067952</vt:lpwstr>
      </vt:variant>
      <vt:variant>
        <vt:i4>1835064</vt:i4>
      </vt:variant>
      <vt:variant>
        <vt:i4>71</vt:i4>
      </vt:variant>
      <vt:variant>
        <vt:i4>0</vt:i4>
      </vt:variant>
      <vt:variant>
        <vt:i4>5</vt:i4>
      </vt:variant>
      <vt:variant>
        <vt:lpwstr/>
      </vt:variant>
      <vt:variant>
        <vt:lpwstr>_Toc394067951</vt:lpwstr>
      </vt:variant>
      <vt:variant>
        <vt:i4>1835064</vt:i4>
      </vt:variant>
      <vt:variant>
        <vt:i4>65</vt:i4>
      </vt:variant>
      <vt:variant>
        <vt:i4>0</vt:i4>
      </vt:variant>
      <vt:variant>
        <vt:i4>5</vt:i4>
      </vt:variant>
      <vt:variant>
        <vt:lpwstr/>
      </vt:variant>
      <vt:variant>
        <vt:lpwstr>_Toc394067950</vt:lpwstr>
      </vt:variant>
      <vt:variant>
        <vt:i4>1900600</vt:i4>
      </vt:variant>
      <vt:variant>
        <vt:i4>59</vt:i4>
      </vt:variant>
      <vt:variant>
        <vt:i4>0</vt:i4>
      </vt:variant>
      <vt:variant>
        <vt:i4>5</vt:i4>
      </vt:variant>
      <vt:variant>
        <vt:lpwstr/>
      </vt:variant>
      <vt:variant>
        <vt:lpwstr>_Toc394067949</vt:lpwstr>
      </vt:variant>
      <vt:variant>
        <vt:i4>1900600</vt:i4>
      </vt:variant>
      <vt:variant>
        <vt:i4>53</vt:i4>
      </vt:variant>
      <vt:variant>
        <vt:i4>0</vt:i4>
      </vt:variant>
      <vt:variant>
        <vt:i4>5</vt:i4>
      </vt:variant>
      <vt:variant>
        <vt:lpwstr/>
      </vt:variant>
      <vt:variant>
        <vt:lpwstr>_Toc394067948</vt:lpwstr>
      </vt:variant>
      <vt:variant>
        <vt:i4>1900600</vt:i4>
      </vt:variant>
      <vt:variant>
        <vt:i4>47</vt:i4>
      </vt:variant>
      <vt:variant>
        <vt:i4>0</vt:i4>
      </vt:variant>
      <vt:variant>
        <vt:i4>5</vt:i4>
      </vt:variant>
      <vt:variant>
        <vt:lpwstr/>
      </vt:variant>
      <vt:variant>
        <vt:lpwstr>_Toc394067947</vt:lpwstr>
      </vt:variant>
      <vt:variant>
        <vt:i4>1900600</vt:i4>
      </vt:variant>
      <vt:variant>
        <vt:i4>41</vt:i4>
      </vt:variant>
      <vt:variant>
        <vt:i4>0</vt:i4>
      </vt:variant>
      <vt:variant>
        <vt:i4>5</vt:i4>
      </vt:variant>
      <vt:variant>
        <vt:lpwstr/>
      </vt:variant>
      <vt:variant>
        <vt:lpwstr>_Toc394067946</vt:lpwstr>
      </vt:variant>
      <vt:variant>
        <vt:i4>1900600</vt:i4>
      </vt:variant>
      <vt:variant>
        <vt:i4>35</vt:i4>
      </vt:variant>
      <vt:variant>
        <vt:i4>0</vt:i4>
      </vt:variant>
      <vt:variant>
        <vt:i4>5</vt:i4>
      </vt:variant>
      <vt:variant>
        <vt:lpwstr/>
      </vt:variant>
      <vt:variant>
        <vt:lpwstr>_Toc394067945</vt:lpwstr>
      </vt:variant>
      <vt:variant>
        <vt:i4>1900600</vt:i4>
      </vt:variant>
      <vt:variant>
        <vt:i4>29</vt:i4>
      </vt:variant>
      <vt:variant>
        <vt:i4>0</vt:i4>
      </vt:variant>
      <vt:variant>
        <vt:i4>5</vt:i4>
      </vt:variant>
      <vt:variant>
        <vt:lpwstr/>
      </vt:variant>
      <vt:variant>
        <vt:lpwstr>_Toc394067944</vt:lpwstr>
      </vt:variant>
      <vt:variant>
        <vt:i4>1900600</vt:i4>
      </vt:variant>
      <vt:variant>
        <vt:i4>23</vt:i4>
      </vt:variant>
      <vt:variant>
        <vt:i4>0</vt:i4>
      </vt:variant>
      <vt:variant>
        <vt:i4>5</vt:i4>
      </vt:variant>
      <vt:variant>
        <vt:lpwstr/>
      </vt:variant>
      <vt:variant>
        <vt:lpwstr>_Toc394067943</vt:lpwstr>
      </vt:variant>
      <vt:variant>
        <vt:i4>1638479</vt:i4>
      </vt:variant>
      <vt:variant>
        <vt:i4>18</vt:i4>
      </vt:variant>
      <vt:variant>
        <vt:i4>0</vt:i4>
      </vt:variant>
      <vt:variant>
        <vt:i4>5</vt:i4>
      </vt:variant>
      <vt:variant>
        <vt:lpwstr>http://www.caldb.gov.au/</vt:lpwstr>
      </vt:variant>
      <vt:variant>
        <vt:lpwstr/>
      </vt:variant>
      <vt:variant>
        <vt:i4>1769507</vt:i4>
      </vt:variant>
      <vt:variant>
        <vt:i4>15</vt:i4>
      </vt:variant>
      <vt:variant>
        <vt:i4>0</vt:i4>
      </vt:variant>
      <vt:variant>
        <vt:i4>5</vt:i4>
      </vt:variant>
      <vt:variant>
        <vt:lpwstr>mailto:gary.hoare@caldb.gov.au</vt:lpwstr>
      </vt:variant>
      <vt:variant>
        <vt:lpwstr/>
      </vt:variant>
      <vt:variant>
        <vt:i4>4849705</vt:i4>
      </vt:variant>
      <vt:variant>
        <vt:i4>12</vt:i4>
      </vt:variant>
      <vt:variant>
        <vt:i4>0</vt:i4>
      </vt:variant>
      <vt:variant>
        <vt:i4>5</vt:i4>
      </vt:variant>
      <vt:variant>
        <vt:lpwstr>mailto:medialiaison@treasury.gov.au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Companies Auditors Liquidators Disciplinary Board</dc:title>
  <dc:subject>Annual Report 2014-15</dc:subject>
  <dc:creator>Companies Auditors Liquidators Disciplinary Board</dc:creator>
  <cp:lastModifiedBy>gary.hoare</cp:lastModifiedBy>
  <cp:revision>2</cp:revision>
  <cp:lastPrinted>2017-09-20T00:22:00Z</cp:lastPrinted>
  <dcterms:created xsi:type="dcterms:W3CDTF">2017-10-23T23:04:00Z</dcterms:created>
  <dcterms:modified xsi:type="dcterms:W3CDTF">2017-10-23T23:04:00Z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2014CSSG-633-1446</vt:lpwstr>
  </property>
  <property fmtid="{D5CDD505-2E9C-101B-9397-08002B2CF9AE}" pid="3" name="_dlc_DocIdItemGuid">
    <vt:lpwstr>5716d92a-2aa8-4b93-8de7-1c6fc8e95769</vt:lpwstr>
  </property>
  <property fmtid="{D5CDD505-2E9C-101B-9397-08002B2CF9AE}" pid="4" name="_dlc_DocIdUrl">
    <vt:lpwstr>http://tweb/sites/cssg/mcd/pubs/pt/_layouts/DocIdRedir.aspx?ID=2014CSSG-633-1446, 2014CSSG-633-1446</vt:lpwstr>
  </property>
  <property fmtid="{D5CDD505-2E9C-101B-9397-08002B2CF9AE}" pid="5" name="_NewReviewCycle">
    <vt:lpwstr/>
  </property>
  <property fmtid="{D5CDD505-2E9C-101B-9397-08002B2CF9AE}" pid="6" name="ContentTypeId">
    <vt:lpwstr>0x010100E95D40E5DFEA714B90E88DB5CE07A6B5008F705419D6AC784B849D443887C087B3</vt:lpwstr>
  </property>
  <property fmtid="{D5CDD505-2E9C-101B-9397-08002B2CF9AE}" pid="7" name="PageSize">
    <vt:lpwstr>A5</vt:lpwstr>
  </property>
  <property fmtid="{D5CDD505-2E9C-101B-9397-08002B2CF9AE}" pid="8" name="TSYRecordClass">
    <vt:lpwstr>7;#TSY RA-9072 - Retain as national archives|d71911a4-1e32-4fc6-834f-26c4fc33e217</vt:lpwstr>
  </property>
  <property fmtid="{D5CDD505-2E9C-101B-9397-08002B2CF9AE}" pid="9" name="RecordPoint_WorkflowType">
    <vt:lpwstr>ActiveSubmitStub</vt:lpwstr>
  </property>
  <property fmtid="{D5CDD505-2E9C-101B-9397-08002B2CF9AE}" pid="10" name="RecordPoint_ActiveItemUniqueId">
    <vt:lpwstr>{01ef9b54-b024-4fe5-88e5-4d33292eb9b7}</vt:lpwstr>
  </property>
  <property fmtid="{D5CDD505-2E9C-101B-9397-08002B2CF9AE}" pid="11" name="RecordPoint_ActiveItemWebId">
    <vt:lpwstr>{e237d495-0881-4849-ae62-ddc8a8132df5}</vt:lpwstr>
  </property>
  <property fmtid="{D5CDD505-2E9C-101B-9397-08002B2CF9AE}" pid="12" name="RecordPoint_ActiveItemSiteId">
    <vt:lpwstr>{de902461-0703-410e-906b-a2e3a4f5dd57}</vt:lpwstr>
  </property>
  <property fmtid="{D5CDD505-2E9C-101B-9397-08002B2CF9AE}" pid="13" name="RecordPoint_ActiveItemListId">
    <vt:lpwstr>{cbc2ebd0-59c1-4002-a83f-92737a87f681}</vt:lpwstr>
  </property>
  <property fmtid="{D5CDD505-2E9C-101B-9397-08002B2CF9AE}" pid="14" name="RecordPoint_RecordNumberSubmitted">
    <vt:lpwstr>R0000203295</vt:lpwstr>
  </property>
  <property fmtid="{D5CDD505-2E9C-101B-9397-08002B2CF9AE}" pid="15" name="RecordPoint_SubmissionCompleted">
    <vt:lpwstr>2015-10-16T10:24:32.1402562+11:00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Language">
    <vt:lpwstr>English</vt:lpwstr>
  </property>
  <property fmtid="{D5CDD505-2E9C-101B-9397-08002B2CF9AE}" pid="20" name="_AdHocReviewCycleID">
    <vt:i4>655796405</vt:i4>
  </property>
  <property fmtid="{D5CDD505-2E9C-101B-9397-08002B2CF9AE}" pid="21" name="_EmailSubject">
    <vt:lpwstr>Minister has approved tabling of CALDB 2015-16 Annual Report</vt:lpwstr>
  </property>
  <property fmtid="{D5CDD505-2E9C-101B-9397-08002B2CF9AE}" pid="22" name="_AuthorEmail">
    <vt:lpwstr>Jenny.Leo@treasury.gov.au</vt:lpwstr>
  </property>
  <property fmtid="{D5CDD505-2E9C-101B-9397-08002B2CF9AE}" pid="23" name="_AuthorEmailDisplayName">
    <vt:lpwstr>Leo, Jenny</vt:lpwstr>
  </property>
  <property fmtid="{D5CDD505-2E9C-101B-9397-08002B2CF9AE}" pid="24" name="_ReviewingToolsShownOnce">
    <vt:lpwstr/>
  </property>
</Properties>
</file>